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8694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69442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88"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RIELLY JOHN P</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HESS CORPORATION</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1185 AVENUE OF THE AMERICAS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HESS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HES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07/18/2025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7"/>
          <w:szCs w:val="17"/>
          <w:color w:val="0000FF"/>
        </w:rPr>
        <w:t>EVP and CFO</w:t>
      </w:r>
    </w:p>
    <w:p>
      <w:pPr>
        <w:spacing w:after="0" w:line="388" w:lineRule="exact"/>
        <w:rPr>
          <w:sz w:val="24"/>
          <w:szCs w:val="24"/>
          <w:color w:val="auto"/>
        </w:rPr>
      </w:pPr>
    </w:p>
    <w:p>
      <w:pPr>
        <w:sectPr>
          <w:pgSz w:w="11900" w:h="16838" w:orient="portrait"/>
          <w:cols w:equalWidth="0" w:num="3">
            <w:col w:w="3180" w:space="720"/>
            <w:col w:w="3100" w:space="720"/>
            <w:col w:w="3360"/>
          </w:cols>
          <w:pgMar w:left="460" w:top="216" w:right="359" w:bottom="188"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74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1"/>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NY</w:t>
            </w:r>
          </w:p>
        </w:tc>
        <w:tc>
          <w:tcPr>
            <w:tcW w:w="880" w:type="dxa"/>
            <w:vAlign w:val="bottom"/>
          </w:tcPr>
          <w:p>
            <w:pPr>
              <w:spacing w:after="0"/>
              <w:rPr>
                <w:sz w:val="10"/>
                <w:szCs w:val="10"/>
                <w:color w:val="auto"/>
              </w:rPr>
            </w:pP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jc w:val="right"/>
              <w:ind w:right="41"/>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$1.00 par value</w:t>
            </w: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07/18/2025</w:t>
            </w: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365,637</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$1.00 par value</w:t>
            </w:r>
          </w:p>
        </w:tc>
        <w:tc>
          <w:tcPr>
            <w:tcW w:w="1860" w:type="dxa"/>
            <w:vAlign w:val="bottom"/>
            <w:gridSpan w:val="3"/>
            <w:vMerge w:val="restart"/>
          </w:tcPr>
          <w:p>
            <w:pPr>
              <w:ind w:left="920"/>
              <w:spacing w:after="0"/>
              <w:rPr>
                <w:sz w:val="20"/>
                <w:szCs w:val="20"/>
                <w:color w:val="auto"/>
              </w:rPr>
            </w:pPr>
            <w:r>
              <w:rPr>
                <w:rFonts w:ascii="Times New Roman" w:cs="Times New Roman" w:eastAsia="Times New Roman" w:hAnsi="Times New Roman"/>
                <w:sz w:val="17"/>
                <w:szCs w:val="17"/>
                <w:color w:val="0000FF"/>
              </w:rPr>
              <w:t>07/18/2025</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5,059</w:t>
            </w:r>
          </w:p>
        </w:tc>
        <w:tc>
          <w:tcPr>
            <w:tcW w:w="120" w:type="dxa"/>
            <w:vAlign w:val="bottom"/>
          </w:tcPr>
          <w:p>
            <w:pPr>
              <w:spacing w:after="0"/>
              <w:rPr>
                <w:sz w:val="21"/>
                <w:szCs w:val="21"/>
                <w:color w:val="auto"/>
              </w:rPr>
            </w:pP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1"/>
                <w:szCs w:val="21"/>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401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60" w:type="dxa"/>
            <w:vAlign w:val="bottom"/>
            <w:gridSpan w:val="5"/>
            <w:vMerge w:val="continue"/>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(k)</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w w:val="96"/>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2023</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80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20" w:type="dxa"/>
            <w:vAlign w:val="bottom"/>
          </w:tcPr>
          <w:p>
            <w:pPr>
              <w:spacing w:after="0"/>
              <w:rPr>
                <w:sz w:val="5"/>
                <w:szCs w:val="5"/>
                <w:color w:val="auto"/>
              </w:rPr>
            </w:pPr>
          </w:p>
        </w:tc>
        <w:tc>
          <w:tcPr>
            <w:tcW w:w="540" w:type="dxa"/>
            <w:vAlign w:val="bottom"/>
            <w:vMerge w:val="restart"/>
          </w:tcPr>
          <w:p>
            <w:pPr>
              <w:jc w:val="center"/>
              <w:ind w:right="155"/>
              <w:spacing w:after="0"/>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21,141</w:t>
            </w:r>
          </w:p>
        </w:tc>
        <w:tc>
          <w:tcPr>
            <w:tcW w:w="40" w:type="dxa"/>
            <w:vAlign w:val="bottom"/>
          </w:tcPr>
          <w:p>
            <w:pPr>
              <w:spacing w:after="0"/>
              <w:rPr>
                <w:sz w:val="5"/>
                <w:szCs w:val="5"/>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(3)</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restart"/>
          </w:tcPr>
          <w:p>
            <w:pPr>
              <w:jc w:val="center"/>
              <w:ind w:left="2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280" w:type="dxa"/>
            <w:vAlign w:val="bottom"/>
          </w:tcPr>
          <w:p>
            <w:pPr>
              <w:spacing w:after="0"/>
              <w:rPr>
                <w:sz w:val="8"/>
                <w:szCs w:val="8"/>
                <w:color w:val="auto"/>
              </w:rPr>
            </w:pP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07/18/2025</w:t>
            </w: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8"/>
                <w:szCs w:val="8"/>
                <w:color w:val="auto"/>
              </w:rPr>
            </w:pPr>
          </w:p>
        </w:tc>
        <w:tc>
          <w:tcPr>
            <w:tcW w:w="8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rPr>
              <w:t>10,067</w:t>
            </w:r>
          </w:p>
        </w:tc>
        <w:tc>
          <w:tcPr>
            <w:tcW w:w="7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gridSpan w:val="2"/>
          </w:tcPr>
          <w:p>
            <w:pPr>
              <w:ind w:left="40"/>
              <w:spacing w:after="0" w:line="53" w:lineRule="exact"/>
              <w:rPr>
                <w:sz w:val="20"/>
                <w:szCs w:val="20"/>
                <w:color w:val="auto"/>
              </w:rPr>
            </w:pPr>
            <w:r>
              <w:rPr>
                <w:rFonts w:ascii="Times New Roman" w:cs="Times New Roman" w:eastAsia="Times New Roman" w:hAnsi="Times New Roman"/>
                <w:sz w:val="6"/>
                <w:szCs w:val="6"/>
                <w:color w:val="0000FF"/>
              </w:rPr>
              <w:t>$1.00 par</w:t>
            </w:r>
          </w:p>
        </w:tc>
        <w:tc>
          <w:tcPr>
            <w:tcW w:w="5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 Unit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jc w:val="center"/>
              <w:ind w:right="155"/>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141.55</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07/18/2025</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8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5"/>
              </w:rPr>
              <w:t>3,152</w:t>
            </w: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color w:val="0000FF"/>
                <w:w w:val="97"/>
              </w:rPr>
              <w:t>03/06/2024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03/06/2033</w:t>
            </w:r>
          </w:p>
        </w:tc>
        <w:tc>
          <w:tcPr>
            <w:tcW w:w="120" w:type="dxa"/>
            <w:vAlign w:val="bottom"/>
          </w:tcPr>
          <w:p>
            <w:pPr>
              <w:spacing w:after="0"/>
              <w:rPr>
                <w:sz w:val="12"/>
                <w:szCs w:val="12"/>
                <w:color w:val="auto"/>
              </w:rPr>
            </w:pPr>
          </w:p>
        </w:tc>
        <w:tc>
          <w:tcPr>
            <w:tcW w:w="540" w:type="dxa"/>
            <w:vAlign w:val="bottom"/>
          </w:tcPr>
          <w:p>
            <w:pPr>
              <w:jc w:val="center"/>
              <w:ind w:right="15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3,152</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gridSpan w:val="2"/>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155"/>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141.55</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07/18/2025</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8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5"/>
              </w:rPr>
              <w:t>3,152</w:t>
            </w: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color w:val="0000FF"/>
                <w:w w:val="97"/>
              </w:rPr>
              <w:t>03/06/2025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03/06/2033</w:t>
            </w:r>
          </w:p>
        </w:tc>
        <w:tc>
          <w:tcPr>
            <w:tcW w:w="120" w:type="dxa"/>
            <w:vAlign w:val="bottom"/>
          </w:tcPr>
          <w:p>
            <w:pPr>
              <w:spacing w:after="0"/>
              <w:rPr>
                <w:sz w:val="12"/>
                <w:szCs w:val="12"/>
                <w:color w:val="auto"/>
              </w:rPr>
            </w:pPr>
          </w:p>
        </w:tc>
        <w:tc>
          <w:tcPr>
            <w:tcW w:w="540" w:type="dxa"/>
            <w:vAlign w:val="bottom"/>
          </w:tcPr>
          <w:p>
            <w:pPr>
              <w:jc w:val="center"/>
              <w:ind w:right="15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3,152</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gridSpan w:val="2"/>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155"/>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141.55</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07/18/2025</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8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5"/>
              </w:rPr>
              <w:t>3,152</w:t>
            </w: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color w:val="0000FF"/>
                <w:w w:val="97"/>
              </w:rPr>
              <w:t>03/06/2026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03/06/2033</w:t>
            </w:r>
          </w:p>
        </w:tc>
        <w:tc>
          <w:tcPr>
            <w:tcW w:w="120" w:type="dxa"/>
            <w:vAlign w:val="bottom"/>
          </w:tcPr>
          <w:p>
            <w:pPr>
              <w:spacing w:after="0"/>
              <w:rPr>
                <w:sz w:val="12"/>
                <w:szCs w:val="12"/>
                <w:color w:val="auto"/>
              </w:rPr>
            </w:pPr>
          </w:p>
        </w:tc>
        <w:tc>
          <w:tcPr>
            <w:tcW w:w="540" w:type="dxa"/>
            <w:vAlign w:val="bottom"/>
          </w:tcPr>
          <w:p>
            <w:pPr>
              <w:jc w:val="center"/>
              <w:ind w:right="15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3,152</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gridSpan w:val="2"/>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155"/>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101.17</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07/18/2025</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8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5"/>
              </w:rPr>
              <w:t>4,387</w:t>
            </w: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color w:val="0000FF"/>
                <w:w w:val="97"/>
              </w:rPr>
              <w:t>03/06/2023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03/06/2032</w:t>
            </w:r>
          </w:p>
        </w:tc>
        <w:tc>
          <w:tcPr>
            <w:tcW w:w="120" w:type="dxa"/>
            <w:vAlign w:val="bottom"/>
          </w:tcPr>
          <w:p>
            <w:pPr>
              <w:spacing w:after="0"/>
              <w:rPr>
                <w:sz w:val="12"/>
                <w:szCs w:val="12"/>
                <w:color w:val="auto"/>
              </w:rPr>
            </w:pPr>
          </w:p>
        </w:tc>
        <w:tc>
          <w:tcPr>
            <w:tcW w:w="540" w:type="dxa"/>
            <w:vAlign w:val="bottom"/>
          </w:tcPr>
          <w:p>
            <w:pPr>
              <w:jc w:val="center"/>
              <w:ind w:right="15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4,387</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gridSpan w:val="2"/>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155"/>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101.17</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07/18/2025</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8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5"/>
              </w:rPr>
              <w:t>4,387</w:t>
            </w: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color w:val="0000FF"/>
                <w:w w:val="97"/>
              </w:rPr>
              <w:t>03/06/2024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03/06/2032</w:t>
            </w:r>
          </w:p>
        </w:tc>
        <w:tc>
          <w:tcPr>
            <w:tcW w:w="120" w:type="dxa"/>
            <w:vAlign w:val="bottom"/>
          </w:tcPr>
          <w:p>
            <w:pPr>
              <w:spacing w:after="0"/>
              <w:rPr>
                <w:sz w:val="12"/>
                <w:szCs w:val="12"/>
                <w:color w:val="auto"/>
              </w:rPr>
            </w:pPr>
          </w:p>
        </w:tc>
        <w:tc>
          <w:tcPr>
            <w:tcW w:w="540" w:type="dxa"/>
            <w:vAlign w:val="bottom"/>
          </w:tcPr>
          <w:p>
            <w:pPr>
              <w:jc w:val="center"/>
              <w:ind w:right="15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4,387</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gridSpan w:val="2"/>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155"/>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101.17</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07/18/2025</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8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5"/>
              </w:rPr>
              <w:t>4,387</w:t>
            </w: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color w:val="0000FF"/>
                <w:w w:val="97"/>
              </w:rPr>
              <w:t>03/06/2025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03/06/2032</w:t>
            </w:r>
          </w:p>
        </w:tc>
        <w:tc>
          <w:tcPr>
            <w:tcW w:w="120" w:type="dxa"/>
            <w:vAlign w:val="bottom"/>
          </w:tcPr>
          <w:p>
            <w:pPr>
              <w:spacing w:after="0"/>
              <w:rPr>
                <w:sz w:val="12"/>
                <w:szCs w:val="12"/>
                <w:color w:val="auto"/>
              </w:rPr>
            </w:pPr>
          </w:p>
        </w:tc>
        <w:tc>
          <w:tcPr>
            <w:tcW w:w="540" w:type="dxa"/>
            <w:vAlign w:val="bottom"/>
          </w:tcPr>
          <w:p>
            <w:pPr>
              <w:jc w:val="center"/>
              <w:ind w:right="15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4,387</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gridSpan w:val="2"/>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155"/>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75.04</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07/18/2025</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8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5"/>
              </w:rPr>
              <w:t>4,945</w:t>
            </w: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color w:val="0000FF"/>
                <w:w w:val="97"/>
              </w:rPr>
              <w:t>03/06/2022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03/06/2031</w:t>
            </w:r>
          </w:p>
        </w:tc>
        <w:tc>
          <w:tcPr>
            <w:tcW w:w="120" w:type="dxa"/>
            <w:vAlign w:val="bottom"/>
          </w:tcPr>
          <w:p>
            <w:pPr>
              <w:spacing w:after="0"/>
              <w:rPr>
                <w:sz w:val="12"/>
                <w:szCs w:val="12"/>
                <w:color w:val="auto"/>
              </w:rPr>
            </w:pPr>
          </w:p>
        </w:tc>
        <w:tc>
          <w:tcPr>
            <w:tcW w:w="540" w:type="dxa"/>
            <w:vAlign w:val="bottom"/>
          </w:tcPr>
          <w:p>
            <w:pPr>
              <w:jc w:val="center"/>
              <w:ind w:right="15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4,945</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gridSpan w:val="2"/>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155"/>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-5147945</wp:posOffset>
            </wp:positionV>
            <wp:extent cx="29210" cy="5546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5546090"/>
                    </a:xfrm>
                    <a:prstGeom prst="rect">
                      <a:avLst/>
                    </a:prstGeom>
                    <a:noFill/>
                  </pic:spPr>
                </pic:pic>
              </a:graphicData>
            </a:graphic>
          </wp:anchor>
        </w:drawing>
      </w:r>
    </w:p>
    <w:p>
      <w:pPr>
        <w:sectPr>
          <w:pgSz w:w="11900" w:h="16838" w:orient="portrait"/>
          <w:cols w:equalWidth="0" w:num="1">
            <w:col w:w="11080"/>
          </w:cols>
          <w:pgMar w:left="460" w:top="216" w:right="359" w:bottom="18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383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7230" cy="3834130"/>
                    </a:xfrm>
                    <a:prstGeom prst="rect">
                      <a:avLst/>
                    </a:prstGeom>
                    <a:noFill/>
                  </pic:spPr>
                </pic:pic>
              </a:graphicData>
            </a:graphic>
          </wp:anchor>
        </w:drawing>
        <w:t>Table II - Derivative Securities Acquired, Disposed of, or Beneficially Owned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840" w:type="dxa"/>
            <w:vAlign w:val="bottom"/>
          </w:tcPr>
          <w:p>
            <w:pPr>
              <w:ind w:left="14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tcPr>
          <w:p>
            <w:pPr>
              <w:ind w:left="14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tcPr>
          <w:p>
            <w:pPr>
              <w:ind w:left="14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840" w:type="dxa"/>
            <w:vAlign w:val="bottom"/>
          </w:tcPr>
          <w:p>
            <w:pPr>
              <w:ind w:left="14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84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840" w:type="dxa"/>
            <w:vAlign w:val="bottom"/>
          </w:tcPr>
          <w:p>
            <w:pPr>
              <w:ind w:left="14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75.04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07/18/2025</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w w:val="95"/>
              </w:rPr>
              <w:t>4,945</w:t>
            </w: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3"/>
                <w:szCs w:val="13"/>
                <w:color w:val="0000FF"/>
              </w:rPr>
              <w:t>03/06/2023</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03/06/2031</w:t>
            </w:r>
          </w:p>
        </w:tc>
        <w:tc>
          <w:tcPr>
            <w:tcW w:w="68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4,945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7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7"/>
              </w:rPr>
              <w:t>$1.00 par</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2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75.04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07/18/2025</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w w:val="95"/>
              </w:rPr>
              <w:t>4,945</w:t>
            </w: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3"/>
                <w:szCs w:val="13"/>
                <w:color w:val="0000FF"/>
              </w:rPr>
              <w:t>03/06/2024</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03/06/2031</w:t>
            </w:r>
          </w:p>
        </w:tc>
        <w:tc>
          <w:tcPr>
            <w:tcW w:w="68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4,945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7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7"/>
              </w:rPr>
              <w:t>$1.00 par</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2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49.72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07/18/2025</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rPr>
              <w:t>10,256</w:t>
            </w: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3"/>
                <w:szCs w:val="13"/>
                <w:color w:val="0000FF"/>
              </w:rPr>
              <w:t>03/06/2022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03/06/2030</w:t>
            </w:r>
          </w:p>
        </w:tc>
        <w:tc>
          <w:tcPr>
            <w:tcW w:w="68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10,256</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7"/>
              </w:rPr>
              <w:t>$1.00 par</w:t>
            </w:r>
          </w:p>
        </w:tc>
        <w:tc>
          <w:tcPr>
            <w:tcW w:w="5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49.72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07/18/2025</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rPr>
              <w:t>10,257</w:t>
            </w: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3"/>
                <w:szCs w:val="13"/>
                <w:color w:val="0000FF"/>
              </w:rPr>
              <w:t>03/06/2023</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03/06/2030</w:t>
            </w:r>
          </w:p>
        </w:tc>
        <w:tc>
          <w:tcPr>
            <w:tcW w:w="68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10,257</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7"/>
              </w:rPr>
              <w:t>$1.00 par</w:t>
            </w:r>
          </w:p>
        </w:tc>
        <w:tc>
          <w:tcPr>
            <w:tcW w:w="5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56.74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07/18/2025</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w w:val="95"/>
              </w:rPr>
              <w:t>7,375</w:t>
            </w: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3"/>
                <w:szCs w:val="13"/>
                <w:color w:val="0000FF"/>
              </w:rPr>
              <w:t>03/06/2022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03/06/2029</w:t>
            </w:r>
          </w:p>
        </w:tc>
        <w:tc>
          <w:tcPr>
            <w:tcW w:w="68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7,375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7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7"/>
              </w:rPr>
              <w:t>$1.00 par</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2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39,189 shares held in escrow pursuant to the Corporation's Long-Term Incentive Plans.</w:t>
      </w:r>
    </w:p>
    <w:p>
      <w:pPr>
        <w:spacing w:after="0" w:line="42" w:lineRule="exact"/>
        <w:rPr>
          <w:rFonts w:ascii="Times New Roman" w:cs="Times New Roman" w:eastAsia="Times New Roman" w:hAnsi="Times New Roman"/>
          <w:sz w:val="13"/>
          <w:szCs w:val="13"/>
          <w:color w:val="008000"/>
        </w:rPr>
      </w:pPr>
    </w:p>
    <w:p>
      <w:pPr>
        <w:ind w:left="20" w:right="220" w:firstLine="1"/>
        <w:spacing w:after="0" w:line="239"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Agreement and Plan of Merger, dated October 22, 2023 (as amended, the "merger agreement"), by and among Hess, Yankee Merger Sub Inc. ("Merger Sub") and Chevron Corporation ("Chevron"), at the effective time of the merger of Merger Sub with and into Hess on the closing date (the "Effective Time"), each outstanding share of common stock of Hess (except as otherwise specified in the merger agreement) was converted into the right to receive 1.025 (the "exchange ratio") shares of common stock of Chevron.</w:t>
      </w:r>
    </w:p>
    <w:p>
      <w:pPr>
        <w:spacing w:after="0" w:line="26" w:lineRule="exact"/>
        <w:rPr>
          <w:rFonts w:ascii="Times New Roman" w:cs="Times New Roman" w:eastAsia="Times New Roman" w:hAnsi="Times New Roman"/>
          <w:sz w:val="13"/>
          <w:szCs w:val="13"/>
          <w:color w:val="008000"/>
        </w:rPr>
      </w:pPr>
    </w:p>
    <w:p>
      <w:pPr>
        <w:ind w:left="20" w:right="180" w:firstLine="1"/>
        <w:spacing w:after="0" w:line="235"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at the Effective Time, each then outstanding Performance Share Unit (PSU) award was deemed to be earned at the maximum level and converted into a restricted cash award in an amount per share under such PSU award equal to the average closing trading price of a share of Chevron common stock for the 20 business days ending on and including the second to last business day prior to the Effective Time multiplied by the exchange ratio, and in each case subject to the same terms and conditions as applied to such awards immediately prior to the Effective Time (other than the performance conditions).</w:t>
      </w:r>
    </w:p>
    <w:p>
      <w:pPr>
        <w:spacing w:after="0" w:line="27" w:lineRule="exact"/>
        <w:rPr>
          <w:rFonts w:ascii="Times New Roman" w:cs="Times New Roman" w:eastAsia="Times New Roman" w:hAnsi="Times New Roman"/>
          <w:sz w:val="13"/>
          <w:szCs w:val="13"/>
          <w:color w:val="008000"/>
        </w:rPr>
      </w:pPr>
    </w:p>
    <w:p>
      <w:pPr>
        <w:ind w:left="20" w:right="160" w:firstLine="1"/>
        <w:spacing w:after="0" w:line="251"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at the Effective Time each then outstanding Hess stock option was converted into a corresponding Chevron stock option based on the exchange ratio, subject to the same terms and conditions applicable to such award immediately prior to the Effective Time.</w:t>
      </w:r>
    </w:p>
    <w:p>
      <w:pPr>
        <w:spacing w:after="0" w:line="2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Barry Schachter for John P.</w:t>
            </w:r>
          </w:p>
        </w:tc>
        <w:tc>
          <w:tcPr>
            <w:tcW w:w="20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2"/>
              </w:rPr>
              <w:t>07/18/2025</w:t>
            </w:r>
          </w:p>
        </w:tc>
        <w:tc>
          <w:tcPr>
            <w:tcW w:w="0" w:type="dxa"/>
            <w:vAlign w:val="bottom"/>
          </w:tcPr>
          <w:p>
            <w:pPr>
              <w:spacing w:after="0"/>
              <w:rPr>
                <w:sz w:val="1"/>
                <w:szCs w:val="1"/>
                <w:color w:val="auto"/>
              </w:rPr>
            </w:pPr>
          </w:p>
        </w:tc>
      </w:tr>
      <w:tr>
        <w:trPr>
          <w:trHeight w:val="82"/>
        </w:trPr>
        <w:tc>
          <w:tcPr>
            <w:tcW w:w="20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Rielly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640" w:firstLine="1"/>
        <w:spacing w:after="0" w:line="333" w:lineRule="auto"/>
        <w:tabs>
          <w:tab w:leader="none" w:pos="15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91129" TargetMode="External"/><Relationship Id="rId14" Type="http://schemas.openxmlformats.org/officeDocument/2006/relationships/hyperlink" Target="http://www.sec.gov/cgi-bin/browse-edgar?action=getcompany&amp;CIK=0000004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2025-07-18T15:28:35Z</dcterms:created>
  <dcterms:modified xsi:type="dcterms:W3CDTF">2025-07-18T15:28:35Z</dcterms:modified>
</cp:coreProperties>
</file>