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As filed with the U.S. Securities and Exchange Commission on July 18, 2025</w:t>
      </w:r>
    </w:p>
    <w:p>
      <w:pPr>
        <w:spacing w:after="0" w:line="4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333-277363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POST-EFFECTIVE AMENDMENT No. 1</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S-3</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1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Hess Corporation</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441" w:right="339" w:bottom="41" w:gutter="0" w:footer="0" w:header="0"/>
        </w:sectPr>
      </w:pPr>
    </w:p>
    <w:p>
      <w:pPr>
        <w:spacing w:after="0" w:line="200" w:lineRule="exact"/>
        <w:rPr>
          <w:sz w:val="24"/>
          <w:szCs w:val="24"/>
          <w:color w:val="auto"/>
        </w:rPr>
      </w:pPr>
    </w:p>
    <w:p>
      <w:pPr>
        <w:spacing w:after="0" w:line="21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13-4921002</w:t>
      </w:r>
    </w:p>
    <w:p>
      <w:pPr>
        <w:spacing w:after="0" w:line="3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7"/>
          <w:szCs w:val="17"/>
          <w:color w:val="auto"/>
        </w:rPr>
        <w:t>(I.R.S. Employer Identification Number)</w:t>
      </w:r>
    </w:p>
    <w:p>
      <w:pPr>
        <w:spacing w:after="0" w:line="200" w:lineRule="exact"/>
        <w:rPr>
          <w:sz w:val="24"/>
          <w:szCs w:val="24"/>
          <w:color w:val="auto"/>
        </w:rPr>
      </w:pPr>
    </w:p>
    <w:p>
      <w:pPr>
        <w:sectPr>
          <w:pgSz w:w="11900" w:h="16838" w:orient="portrait"/>
          <w:cols w:equalWidth="0" w:num="2">
            <w:col w:w="6720" w:space="720"/>
            <w:col w:w="3800"/>
          </w:cols>
          <w:pgMar w:left="320" w:top="441" w:right="339" w:bottom="41" w:gutter="0" w:footer="0" w:header="0"/>
          <w:type w:val="continuous"/>
        </w:sectPr>
      </w:pP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1185 Avenue of the Americas,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 York, New York 10036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(212) 997-8500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0" w:lineRule="exact"/>
        <w:rPr>
          <w:sz w:val="24"/>
          <w:szCs w:val="24"/>
          <w:color w:val="auto"/>
        </w:rPr>
      </w:pP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Mary A. Francis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Corporate Secretary and Chief Governance Officer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 Chevron Corporation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5001 Executive Parkway, Suite 200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San Ramon, CA 94583</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(925) 842-1000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With copies to:</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Scott A. Barshay</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Kyle T. Seifried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Paul, Weiss, Rifkind, Wharton &amp; Garrison LLP</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1285 Avenue of the Americas</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 York, NY 10019-6064</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(212) 373-3000</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Approximate date of commencement of proposed sale to the public: Not applicable</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266"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 as amended.</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00" w:type="dxa"/>
            <w:vAlign w:val="bottom"/>
          </w:tcPr>
          <w:p>
            <w:pPr>
              <w:ind w:left="600"/>
              <w:spacing w:after="0"/>
              <w:rPr>
                <w:sz w:val="20"/>
                <w:szCs w:val="20"/>
                <w:color w:val="auto"/>
              </w:rPr>
            </w:pPr>
            <w:r>
              <w:rPr>
                <w:rFonts w:ascii="Wingdings" w:cs="Wingdings" w:eastAsia="Wingdings" w:hAnsi="Wingdings"/>
                <w:sz w:val="18"/>
                <w:szCs w:val="18"/>
                <w:b w:val="1"/>
                <w:bCs w:val="1"/>
                <w:color w:val="auto"/>
              </w:rPr>
              <w:t>x</w:t>
            </w:r>
          </w:p>
        </w:tc>
        <w:tc>
          <w:tcPr>
            <w:tcW w:w="478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Accelerated filer</w:t>
            </w:r>
          </w:p>
        </w:tc>
        <w:tc>
          <w:tcPr>
            <w:tcW w:w="1640" w:type="dxa"/>
            <w:vAlign w:val="bottom"/>
          </w:tcPr>
          <w:p>
            <w:pPr>
              <w:ind w:left="1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0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640" w:type="dxa"/>
            <w:vAlign w:val="bottom"/>
          </w:tcPr>
          <w:p>
            <w:pPr>
              <w:ind w:left="1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2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78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Emerging growth company</w:t>
            </w:r>
          </w:p>
        </w:tc>
        <w:tc>
          <w:tcPr>
            <w:tcW w:w="1640" w:type="dxa"/>
            <w:vAlign w:val="bottom"/>
          </w:tcPr>
          <w:p>
            <w:pPr>
              <w:ind w:left="148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1240"/>
          </w:cols>
          <w:pgMar w:left="320" w:top="441" w:right="339" w:bottom="41" w:gutter="0" w:footer="0" w:header="0"/>
          <w:type w:val="continuous"/>
        </w:sectPr>
      </w:pPr>
    </w:p>
    <w:bookmarkStart w:id="1" w:name="page2"/>
    <w:bookmarkEnd w:id="1"/>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556895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Post-Effective Amendment (these “Post-Effective Amendment”) filed by Hess Corporation, a Delaware corporation (the “Registrant” or “Hess”), relates to the Registration Statement on Form S-3 (File No. 333-277363) filed by the Registrant with the U.S. Securities and Exchange Commission (the “SEC”) on February 26, 2024 (the “Registration Statement”). The Registration Statement pertains to registration of an indeterminate amount of debt securities, warrants, common stock, preferred stock, depositary shares, purchase contracts and units offered by the Registrant.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18, 2025, pursuant to the Agreement and Plan of Merger, dated as of October 22, 2023 (the “Merger Agreement”), by and among Chevron Corporation (“Chevron”), Yankee Merger Sub Inc. (“Merger Sub”), and Hess, Merger Sub merged with and into Hess (the “Merger”), with Hess surviving the Merger as a direct, wholly owned subsidiary of Chevron.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the completion of the transactions contemplated by the Merger Agreement, including the Merger, the Registrant has terminated any and all offerings of its securities pursuant to the Registration Statement. In accordance with the undertaking made by the Registrant in the Registration Statement to remove from registration, by means of a post-effective amendment, any securities that had been registered for issuance but remain unsold at the termination of the offering, the Registrant hereby removes from registration any and all securities of the Registrant registered but unsold under the Registration Statement as of the date hereof. The Registration Statement is hereby amended, as appropriate, to reflect the deregistration of such securities and the Registrant hereby terminates the effectiveness of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748030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S-3 and has duly caused this Post-Effective Amendment to the Registration Statement described above to be signed on its behalf by the undersigned, thereunto duly authorized, in the City of Houston, State of Texas, on July 18, 2025. No other person is required to sign this Post-Effective Amendment to the Registration Statement on Form S-3 in reliance upon Rule 478 under the Securities Act of 1933, as amended.</w:t>
      </w:r>
    </w:p>
    <w:p>
      <w:pPr>
        <w:spacing w:after="0" w:line="17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Hess Corporation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Kari H. Endries</w:t>
            </w:r>
          </w:p>
        </w:tc>
        <w:tc>
          <w:tcPr>
            <w:tcW w:w="1120" w:type="dxa"/>
            <w:vAlign w:val="bottom"/>
          </w:tcPr>
          <w:p>
            <w:pPr>
              <w:spacing w:after="0"/>
              <w:rPr>
                <w:sz w:val="20"/>
                <w:szCs w:val="20"/>
                <w:color w:val="auto"/>
              </w:rPr>
            </w:pPr>
          </w:p>
        </w:tc>
      </w:tr>
      <w:tr>
        <w:trPr>
          <w:trHeight w:val="191"/>
        </w:trPr>
        <w:tc>
          <w:tcPr>
            <w:tcW w:w="62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Kari H. Endries</w:t>
            </w:r>
          </w:p>
        </w:tc>
        <w:tc>
          <w:tcPr>
            <w:tcW w:w="1120" w:type="dxa"/>
            <w:vAlign w:val="bottom"/>
          </w:tcPr>
          <w:p>
            <w:pPr>
              <w:spacing w:after="0"/>
              <w:rPr>
                <w:sz w:val="16"/>
                <w:szCs w:val="16"/>
                <w:color w:val="auto"/>
              </w:rPr>
            </w:pP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Assistant Secretary</w:t>
            </w:r>
          </w:p>
        </w:tc>
        <w:tc>
          <w:tcPr>
            <w:tcW w:w="1120" w:type="dxa"/>
            <w:vAlign w:val="bottom"/>
          </w:tcPr>
          <w:p>
            <w:pPr>
              <w:spacing w:after="0"/>
              <w:rPr>
                <w:sz w:val="20"/>
                <w:szCs w:val="20"/>
                <w:color w:val="auto"/>
              </w:rPr>
            </w:pPr>
          </w:p>
        </w:tc>
      </w:tr>
      <w:tr>
        <w:trPr>
          <w:trHeight w:val="1195"/>
        </w:trPr>
        <w:tc>
          <w:tcPr>
            <w:tcW w:w="62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2025-07-18T08:25:13Z</dcterms:created>
  <dcterms:modified xsi:type="dcterms:W3CDTF">2025-07-18T08:25:13Z</dcterms:modified>
</cp:coreProperties>
</file>