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LEONARD S JR</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HESS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HES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gridSpan w:val="2"/>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07/18/2025</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HESS CORPORATION</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1185 AVENUE OF THE AMERICAS</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07/18/2025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20,124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22, 2023 (as amended, the "merger agreement"), by and among Hess, Yankee Merger Sub Inc. ("Merger Sub") and Chevron Corporation ("Chevron"), at the effective time of the merger of Merger Sub with and into Hess on the closing date (the "Effective Time"), each outstanding share of common stock of Hess (except as otherwise specified in the merger agreement) was converted into the right to receive 1.025 (the "exchange ratio") shares of common stock of Chevron.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Barry Schachter for Leonard</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07/18/2025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 Coleman, Jr.</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47251" TargetMode="External"/><Relationship Id="rId14"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2025-07-18T15:20:12Z</dcterms:created>
  <dcterms:modified xsi:type="dcterms:W3CDTF">2025-07-18T15:20:12Z</dcterms:modified>
</cp:coreProperties>
</file>