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001-01204</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HESS CORP</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1185 Avenue of the Americas</w:t>
      </w:r>
    </w:p>
    <w:p>
      <w:pPr>
        <w:spacing w:after="0" w:line="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New York NEW YORK 10036</w:t>
      </w:r>
    </w:p>
    <w:p>
      <w:pPr>
        <w:spacing w:after="0" w:line="63" w:lineRule="exact"/>
        <w:rPr>
          <w:sz w:val="24"/>
          <w:szCs w:val="24"/>
          <w:color w:val="auto"/>
        </w:rPr>
      </w:pPr>
    </w:p>
    <w:tbl>
      <w:tblPr>
        <w:tblLayout w:type="fixed"/>
        <w:tblInd w:w="258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r>
              <w:rPr>
                <w:rFonts w:ascii="Arial" w:cs="Arial" w:eastAsia="Arial" w:hAnsi="Arial"/>
                <w:sz w:val="18"/>
                <w:szCs w:val="18"/>
                <w:color w:val="auto"/>
              </w:rPr>
              <w:t>Telephone number: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212-997-8500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2025-07-18</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4"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29, 2025, pursuant to the provisions of Rule 12d2-2 (a). [ X ] 17 CFR 240.12d2-2(a)(3) That on July 18, 2025,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Hess Corporation and Chevron Corporation became effective before market open on July 18, 2025. Each share of of Hess Corporation Common Stock was exchanged for 1.025 shares of Chevron Corporation Common Stock, without interest, less any applicable fee, and tax. The Exchange also notifies the Securities and Exchange Commission that as a result of the above indicated conditions this security was suspended from trading before market open on July 18, 2025.</w:t>
      </w:r>
    </w:p>
    <w:sectPr>
      <w:pgSz w:w="11900" w:h="16838" w:orient="portrait"/>
      <w:cols w:equalWidth="0" w:num="1">
        <w:col w:w="11140"/>
      </w:cols>
      <w:pgMar w:left="32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01204" TargetMode="External"/><Relationship Id="rId11" Type="http://schemas.openxmlformats.org/officeDocument/2006/relationships/hyperlink" Target="http://www.sec.gov/cgi-bin/browse-edgar?action=getcompany&amp;CIK=0000004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2025-07-18T08:20:50Z</dcterms:created>
  <dcterms:modified xsi:type="dcterms:W3CDTF">2025-07-18T08:20:50Z</dcterms:modified>
</cp:coreProperties>
</file>