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ind w:left="460" w:right="2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 ended </w:t>
      </w:r>
      <w:r>
        <w:rPr>
          <w:rFonts w:ascii="Arial" w:cs="Arial" w:eastAsia="Arial" w:hAnsi="Arial"/>
          <w:sz w:val="18"/>
          <w:szCs w:val="18"/>
          <w:b w:val="1"/>
          <w:bCs w:val="1"/>
          <w:i w:val="1"/>
          <w:iCs w:val="1"/>
          <w:color w:val="auto"/>
        </w:rPr>
        <w:t>March 31, 2014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HESS CORPORATION</w:t>
      </w:r>
    </w:p>
    <w:p>
      <w:pPr>
        <w:spacing w:after="0" w:line="54"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159"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13-4921002</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(I.R.S. Employer Identification Number)</w:t>
      </w:r>
    </w:p>
    <w:p>
      <w:pPr>
        <w:spacing w:after="0" w:line="159"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1185 AVENUE OF THE AMERICAS, NEW YORK, N.Y.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10036</w:t>
      </w:r>
    </w:p>
    <w:p>
      <w:pPr>
        <w:jc w:val="center"/>
        <w:spacing w:after="0"/>
        <w:rPr>
          <w:sz w:val="20"/>
          <w:szCs w:val="20"/>
          <w:color w:val="auto"/>
        </w:rPr>
      </w:pPr>
      <w:r>
        <w:rPr>
          <w:rFonts w:ascii="Arial" w:cs="Arial" w:eastAsia="Arial" w:hAnsi="Arial"/>
          <w:sz w:val="18"/>
          <w:szCs w:val="18"/>
          <w:color w:val="auto"/>
        </w:rPr>
        <w:t>(Zip Code)</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is (212) 997-8500)</w:t>
      </w:r>
    </w:p>
    <w:p>
      <w:pPr>
        <w:spacing w:after="0" w:line="171"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Indicate by check mark whether the registrant: (1) has filed all reports required to be filed by Section 13 or 15</w:t>
      </w:r>
      <w:r>
        <w:rPr>
          <w:rFonts w:ascii="Arial" w:cs="Arial" w:eastAsia="Arial" w:hAnsi="Arial"/>
          <w:sz w:val="18"/>
          <w:szCs w:val="18"/>
          <w:i w:val="1"/>
          <w:iCs w:val="1"/>
          <w:color w:val="auto"/>
        </w:rPr>
        <w:t>(</w:t>
      </w:r>
      <w:r>
        <w:rPr>
          <w:rFonts w:ascii="Arial" w:cs="Arial" w:eastAsia="Arial" w:hAnsi="Arial"/>
          <w:sz w:val="18"/>
          <w:szCs w:val="18"/>
          <w:color w:val="auto"/>
        </w:rPr>
        <w:t xml:space="preserve">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34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480" w:type="dxa"/>
            <w:vAlign w:val="bottom"/>
          </w:tcPr>
          <w:p>
            <w:pPr>
              <w:ind w:left="15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880" w:type="dxa"/>
            <w:vAlign w:val="bottom"/>
          </w:tcPr>
          <w:p>
            <w:pPr>
              <w:jc w:val="right"/>
              <w:ind w:right="512"/>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720" w:type="dxa"/>
            <w:vAlign w:val="bottom"/>
          </w:tcPr>
          <w:p>
            <w:pPr>
              <w:ind w:left="500"/>
              <w:spacing w:after="0" w:line="207" w:lineRule="exact"/>
              <w:rPr>
                <w:sz w:val="20"/>
                <w:szCs w:val="20"/>
                <w:color w:val="auto"/>
              </w:rPr>
            </w:pPr>
            <w:r>
              <w:rPr>
                <w:rFonts w:ascii="Arial" w:cs="Arial" w:eastAsia="Arial" w:hAnsi="Arial"/>
                <w:sz w:val="18"/>
                <w:szCs w:val="18"/>
                <w:color w:val="auto"/>
                <w:w w:val="88"/>
              </w:rPr>
              <w:t xml:space="preserve">Smaller Reporting Company </w:t>
            </w:r>
            <w:r>
              <w:rPr>
                <w:rFonts w:ascii="MS PGothic" w:cs="MS PGothic" w:eastAsia="MS PGothic" w:hAnsi="MS PGothic"/>
                <w:sz w:val="18"/>
                <w:szCs w:val="18"/>
                <w:color w:val="auto"/>
                <w:w w:val="88"/>
              </w:rPr>
              <w:t>☐</w:t>
            </w:r>
          </w:p>
        </w:tc>
      </w:tr>
      <w:tr>
        <w:trPr>
          <w:trHeight w:val="222"/>
        </w:trPr>
        <w:tc>
          <w:tcPr>
            <w:tcW w:w="2340" w:type="dxa"/>
            <w:vAlign w:val="bottom"/>
          </w:tcPr>
          <w:p>
            <w:pPr>
              <w:spacing w:after="0"/>
              <w:rPr>
                <w:sz w:val="19"/>
                <w:szCs w:val="19"/>
                <w:color w:val="auto"/>
              </w:rPr>
            </w:pPr>
          </w:p>
        </w:tc>
        <w:tc>
          <w:tcPr>
            <w:tcW w:w="6360" w:type="dxa"/>
            <w:vAlign w:val="bottom"/>
            <w:gridSpan w:val="2"/>
          </w:tcPr>
          <w:p>
            <w:pPr>
              <w:jc w:val="right"/>
              <w:ind w:right="1072"/>
              <w:spacing w:after="0"/>
              <w:rPr>
                <w:sz w:val="20"/>
                <w:szCs w:val="20"/>
                <w:color w:val="auto"/>
              </w:rPr>
            </w:pPr>
            <w:r>
              <w:rPr>
                <w:rFonts w:ascii="Arial" w:cs="Arial" w:eastAsia="Arial" w:hAnsi="Arial"/>
                <w:sz w:val="18"/>
                <w:szCs w:val="18"/>
                <w:color w:val="auto"/>
              </w:rPr>
              <w:t>(Do not check if a smaller reporting company)</w:t>
            </w:r>
          </w:p>
        </w:tc>
        <w:tc>
          <w:tcPr>
            <w:tcW w:w="2720" w:type="dxa"/>
            <w:vAlign w:val="bottom"/>
          </w:tcPr>
          <w:p>
            <w:pPr>
              <w:spacing w:after="0"/>
              <w:rPr>
                <w:sz w:val="19"/>
                <w:szCs w:val="19"/>
                <w:color w:val="auto"/>
              </w:rPr>
            </w:pPr>
          </w:p>
        </w:tc>
      </w:tr>
      <w:tr>
        <w:trPr>
          <w:trHeight w:val="398"/>
        </w:trPr>
        <w:tc>
          <w:tcPr>
            <w:tcW w:w="8700" w:type="dxa"/>
            <w:vAlign w:val="bottom"/>
            <w:gridSpan w:val="3"/>
          </w:tcPr>
          <w:p>
            <w:pPr>
              <w:jc w:val="right"/>
              <w:ind w:right="12"/>
              <w:spacing w:after="0" w:line="207" w:lineRule="exact"/>
              <w:rPr>
                <w:sz w:val="20"/>
                <w:szCs w:val="20"/>
                <w:color w:val="auto"/>
              </w:rPr>
            </w:pPr>
            <w:r>
              <w:rPr>
                <w:rFonts w:ascii="Arial" w:cs="Arial" w:eastAsia="Arial" w:hAnsi="Arial"/>
                <w:sz w:val="18"/>
                <w:szCs w:val="18"/>
                <w:color w:val="auto"/>
                <w:w w:val="89"/>
              </w:rPr>
              <w:t xml:space="preserve">Indicate by check mark whether the registrant is a shell company (as defined in Rule 12b-2 of the Exchange Act).  Yes </w:t>
            </w:r>
            <w:r>
              <w:rPr>
                <w:rFonts w:ascii="MS PGothic" w:cs="MS PGothic" w:eastAsia="MS PGothic" w:hAnsi="MS PGothic"/>
                <w:sz w:val="18"/>
                <w:szCs w:val="18"/>
                <w:color w:val="auto"/>
                <w:w w:val="89"/>
              </w:rPr>
              <w:t>☐</w:t>
            </w:r>
          </w:p>
        </w:tc>
        <w:tc>
          <w:tcPr>
            <w:tcW w:w="272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58"/>
        </w:trPr>
        <w:tc>
          <w:tcPr>
            <w:tcW w:w="2340" w:type="dxa"/>
            <w:vAlign w:val="bottom"/>
          </w:tcPr>
          <w:p>
            <w:pPr>
              <w:spacing w:after="0"/>
              <w:rPr>
                <w:sz w:val="24"/>
                <w:szCs w:val="24"/>
                <w:color w:val="auto"/>
              </w:rPr>
            </w:pPr>
          </w:p>
        </w:tc>
        <w:tc>
          <w:tcPr>
            <w:tcW w:w="6360" w:type="dxa"/>
            <w:vAlign w:val="bottom"/>
            <w:gridSpan w:val="2"/>
          </w:tcPr>
          <w:p>
            <w:pPr>
              <w:jc w:val="right"/>
              <w:spacing w:after="0"/>
              <w:rPr>
                <w:sz w:val="20"/>
                <w:szCs w:val="20"/>
                <w:color w:val="auto"/>
              </w:rPr>
            </w:pPr>
            <w:r>
              <w:rPr>
                <w:rFonts w:ascii="Arial" w:cs="Arial" w:eastAsia="Arial" w:hAnsi="Arial"/>
                <w:sz w:val="18"/>
                <w:szCs w:val="18"/>
                <w:color w:val="auto"/>
                <w:w w:val="95"/>
              </w:rPr>
              <w:t>At March 31, 2014, there were 314,208,324 shares of Common Stock outstanding.</w:t>
            </w:r>
          </w:p>
        </w:tc>
        <w:tc>
          <w:tcPr>
            <w:tcW w:w="2720" w:type="dxa"/>
            <w:vAlign w:val="bottom"/>
          </w:tcPr>
          <w:p>
            <w:pPr>
              <w:spacing w:after="0"/>
              <w:rPr>
                <w:sz w:val="24"/>
                <w:szCs w:val="24"/>
                <w:color w:val="auto"/>
              </w:rPr>
            </w:pPr>
          </w:p>
        </w:tc>
      </w:tr>
      <w:tr>
        <w:trPr>
          <w:trHeight w:val="124"/>
        </w:trPr>
        <w:tc>
          <w:tcPr>
            <w:tcW w:w="234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r>
      <w:tr>
        <w:trPr>
          <w:trHeight w:val="55"/>
        </w:trPr>
        <w:tc>
          <w:tcPr>
            <w:tcW w:w="23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color w:val="auto"/>
                <w:w w:val="90"/>
              </w:rPr>
              <w:t>Item No.</w:t>
            </w:r>
          </w:p>
        </w:tc>
        <w:tc>
          <w:tcPr>
            <w:tcW w:w="10860" w:type="dxa"/>
            <w:vAlign w:val="bottom"/>
          </w:tcPr>
          <w:p>
            <w:pPr>
              <w:jc w:val="center"/>
              <w:ind w:left="10312"/>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3"/>
        </w:trPr>
        <w:tc>
          <w:tcPr>
            <w:tcW w:w="500" w:type="dxa"/>
            <w:vAlign w:val="bottom"/>
            <w:tcBorders>
              <w:bottom w:val="single" w:sz="8" w:color="auto"/>
            </w:tcBorders>
            <w:vMerge w:val="continue"/>
          </w:tcPr>
          <w:p>
            <w:pPr>
              <w:spacing w:after="0"/>
              <w:rPr>
                <w:sz w:val="12"/>
                <w:szCs w:val="12"/>
                <w:color w:val="auto"/>
              </w:rPr>
            </w:pPr>
          </w:p>
        </w:tc>
        <w:tc>
          <w:tcPr>
            <w:tcW w:w="10860" w:type="dxa"/>
            <w:vAlign w:val="bottom"/>
          </w:tcPr>
          <w:p>
            <w:pPr>
              <w:jc w:val="center"/>
              <w:ind w:left="10312"/>
              <w:spacing w:after="0" w:line="148" w:lineRule="exact"/>
              <w:rPr>
                <w:sz w:val="20"/>
                <w:szCs w:val="20"/>
                <w:color w:val="auto"/>
              </w:rPr>
            </w:pPr>
            <w:r>
              <w:rPr>
                <w:rFonts w:ascii="Arial" w:cs="Arial" w:eastAsia="Arial" w:hAnsi="Arial"/>
                <w:sz w:val="14"/>
                <w:szCs w:val="14"/>
                <w:b w:val="1"/>
                <w:bCs w:val="1"/>
                <w:u w:val="single" w:color="auto"/>
                <w:color w:val="auto"/>
                <w:w w:val="90"/>
              </w:rPr>
              <w:t>Number</w:t>
            </w:r>
          </w:p>
        </w:tc>
        <w:tc>
          <w:tcPr>
            <w:tcW w:w="0" w:type="dxa"/>
            <w:vAlign w:val="bottom"/>
          </w:tcPr>
          <w:p>
            <w:pPr>
              <w:spacing w:after="0"/>
              <w:rPr>
                <w:sz w:val="1"/>
                <w:szCs w:val="1"/>
                <w:color w:val="auto"/>
              </w:rPr>
            </w:pPr>
          </w:p>
        </w:tc>
      </w:tr>
    </w:tbl>
    <w:p>
      <w:pPr>
        <w:ind w:left="39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p>
      <w:pPr>
        <w:spacing w:after="0" w:line="7" w:lineRule="exact"/>
        <w:rPr>
          <w:sz w:val="20"/>
          <w:szCs w:val="20"/>
          <w:color w:val="auto"/>
        </w:rPr>
      </w:pPr>
    </w:p>
    <w:p>
      <w:pPr>
        <w:ind w:left="740" w:hanging="435"/>
        <w:spacing w:after="0"/>
        <w:tabs>
          <w:tab w:leader="none" w:pos="740" w:val="left"/>
        </w:tabs>
        <w:numPr>
          <w:ilvl w:val="0"/>
          <w:numId w:val="3"/>
        </w:numPr>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bl>
      <w:tblPr>
        <w:tblLayout w:type="fixed"/>
        <w:tblInd w:w="300" w:type="dxa"/>
        <w:tblCellMar>
          <w:top w:w="0" w:type="dxa"/>
          <w:left w:w="0" w:type="dxa"/>
          <w:bottom w:w="0" w:type="dxa"/>
          <w:right w:w="0" w:type="dxa"/>
        </w:tblCellMar>
      </w:tblPr>
      <w:tr>
        <w:trPr>
          <w:trHeight w:val="187"/>
        </w:trPr>
        <w:tc>
          <w:tcPr>
            <w:tcW w:w="440" w:type="dxa"/>
            <w:vAlign w:val="bottom"/>
          </w:tcPr>
          <w:p>
            <w:pPr>
              <w:spacing w:after="0"/>
              <w:rPr>
                <w:sz w:val="16"/>
                <w:szCs w:val="16"/>
                <w:color w:val="auto"/>
              </w:rPr>
            </w:pPr>
          </w:p>
        </w:tc>
        <w:tc>
          <w:tcPr>
            <w:tcW w:w="5020" w:type="dxa"/>
            <w:vAlign w:val="bottom"/>
            <w:tcBorders>
              <w:bottom w:val="single" w:sz="8" w:color="0000EE"/>
            </w:tcBorders>
            <w:gridSpan w:val="10"/>
          </w:tcPr>
          <w:p>
            <w:pPr>
              <w:spacing w:after="0" w:line="187"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 at March 31, 2014 and December 31, 2013</w:t>
              </w:r>
            </w:hyperlink>
          </w:p>
        </w:tc>
        <w:tc>
          <w:tcPr>
            <w:tcW w:w="3880" w:type="dxa"/>
            <w:vAlign w:val="bottom"/>
            <w:gridSpan w:val="7"/>
          </w:tcPr>
          <w:p>
            <w:pPr>
              <w:spacing w:after="0"/>
              <w:rPr>
                <w:sz w:val="16"/>
                <w:szCs w:val="16"/>
                <w:color w:val="auto"/>
              </w:rPr>
            </w:pPr>
          </w:p>
        </w:tc>
        <w:tc>
          <w:tcPr>
            <w:tcW w:w="1720" w:type="dxa"/>
            <w:vAlign w:val="bottom"/>
          </w:tcPr>
          <w:p>
            <w:pPr>
              <w:jc w:val="right"/>
              <w:spacing w:after="0" w:line="187" w:lineRule="exact"/>
              <w:rPr>
                <w:sz w:val="20"/>
                <w:szCs w:val="20"/>
                <w:color w:val="auto"/>
              </w:rPr>
            </w:pPr>
            <w:r>
              <w:rPr>
                <w:rFonts w:ascii="Arial" w:cs="Arial" w:eastAsia="Arial" w:hAnsi="Arial"/>
                <w:sz w:val="18"/>
                <w:szCs w:val="18"/>
                <w:color w:val="auto"/>
              </w:rPr>
              <w:t>2</w:t>
            </w:r>
          </w:p>
        </w:tc>
      </w:tr>
      <w:tr>
        <w:trPr>
          <w:trHeight w:val="196"/>
        </w:trPr>
        <w:tc>
          <w:tcPr>
            <w:tcW w:w="440" w:type="dxa"/>
            <w:vAlign w:val="bottom"/>
          </w:tcPr>
          <w:p>
            <w:pPr>
              <w:spacing w:after="0"/>
              <w:rPr>
                <w:sz w:val="17"/>
                <w:szCs w:val="17"/>
                <w:color w:val="auto"/>
              </w:rPr>
            </w:pPr>
          </w:p>
        </w:tc>
        <w:tc>
          <w:tcPr>
            <w:tcW w:w="890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Statement of Consolidated Income for the three months ended March 31, 2014 and 2013</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3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Statement of Consolidated Comprehensive Income for the three months ended March 31, 2014 and 2013</w:t>
              </w:r>
            </w:hyperlink>
          </w:p>
        </w:tc>
        <w:tc>
          <w:tcPr>
            <w:tcW w:w="1540" w:type="dxa"/>
            <w:vAlign w:val="bottom"/>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890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 of Consolidated Cash Flows for the three months ended March 31, 2014 and 2013</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57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Statement of Consolidated Equity for the periods ended March 31, 2014 and 2013</w:t>
              </w:r>
            </w:hyperlink>
          </w:p>
        </w:tc>
        <w:tc>
          <w:tcPr>
            <w:tcW w:w="740" w:type="dxa"/>
            <w:vAlign w:val="bottom"/>
            <w:tcBorders>
              <w:top w:val="single" w:sz="8" w:color="0000EE"/>
            </w:tcBorders>
            <w:gridSpan w:val="4"/>
          </w:tcPr>
          <w:p>
            <w:pPr>
              <w:spacing w:after="0"/>
              <w:rPr>
                <w:sz w:val="17"/>
                <w:szCs w:val="17"/>
                <w:color w:val="auto"/>
              </w:rPr>
            </w:pPr>
          </w:p>
        </w:tc>
        <w:tc>
          <w:tcPr>
            <w:tcW w:w="2400" w:type="dxa"/>
            <w:vAlign w:val="bottom"/>
            <w:gridSpan w:val="2"/>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8900" w:type="dxa"/>
            <w:vAlign w:val="bottom"/>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440" w:type="dxa"/>
            <w:vAlign w:val="bottom"/>
          </w:tcPr>
          <w:p>
            <w:pPr>
              <w:jc w:val="right"/>
              <w:ind w:right="212"/>
              <w:spacing w:after="0" w:line="196" w:lineRule="exact"/>
              <w:rPr>
                <w:sz w:val="20"/>
                <w:szCs w:val="20"/>
                <w:color w:val="auto"/>
              </w:rPr>
            </w:pPr>
            <w:r>
              <w:rPr>
                <w:rFonts w:ascii="Arial" w:cs="Arial" w:eastAsia="Arial" w:hAnsi="Arial"/>
                <w:sz w:val="18"/>
                <w:szCs w:val="18"/>
                <w:color w:val="auto"/>
                <w:w w:val="79"/>
              </w:rPr>
              <w:t>2.</w:t>
            </w:r>
          </w:p>
        </w:tc>
        <w:tc>
          <w:tcPr>
            <w:tcW w:w="63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Management’s Discussion and Analysis of Financial Condition and Results of Operations</w:t>
              </w:r>
            </w:hyperlink>
          </w:p>
        </w:tc>
        <w:tc>
          <w:tcPr>
            <w:tcW w:w="2600" w:type="dxa"/>
            <w:vAlign w:val="bottom"/>
            <w:gridSpan w:val="3"/>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40" w:type="dxa"/>
            <w:vAlign w:val="bottom"/>
          </w:tcPr>
          <w:p>
            <w:pPr>
              <w:jc w:val="right"/>
              <w:ind w:right="212"/>
              <w:spacing w:after="0" w:line="196" w:lineRule="exact"/>
              <w:rPr>
                <w:sz w:val="20"/>
                <w:szCs w:val="20"/>
                <w:color w:val="auto"/>
              </w:rPr>
            </w:pPr>
            <w:r>
              <w:rPr>
                <w:rFonts w:ascii="Arial" w:cs="Arial" w:eastAsia="Arial" w:hAnsi="Arial"/>
                <w:sz w:val="18"/>
                <w:szCs w:val="18"/>
                <w:color w:val="auto"/>
                <w:w w:val="79"/>
              </w:rPr>
              <w:t>3.</w:t>
            </w:r>
          </w:p>
        </w:tc>
        <w:tc>
          <w:tcPr>
            <w:tcW w:w="8900" w:type="dxa"/>
            <w:vAlign w:val="bottom"/>
            <w:gridSpan w:val="17"/>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40" w:type="dxa"/>
            <w:vAlign w:val="bottom"/>
          </w:tcPr>
          <w:p>
            <w:pPr>
              <w:jc w:val="right"/>
              <w:ind w:right="212"/>
              <w:spacing w:after="0" w:line="196" w:lineRule="exact"/>
              <w:rPr>
                <w:sz w:val="20"/>
                <w:szCs w:val="20"/>
                <w:color w:val="auto"/>
              </w:rPr>
            </w:pPr>
            <w:r>
              <w:rPr>
                <w:rFonts w:ascii="Arial" w:cs="Arial" w:eastAsia="Arial" w:hAnsi="Arial"/>
                <w:sz w:val="18"/>
                <w:szCs w:val="18"/>
                <w:color w:val="auto"/>
                <w:w w:val="79"/>
              </w:rPr>
              <w:t>4.</w:t>
            </w:r>
          </w:p>
        </w:tc>
        <w:tc>
          <w:tcPr>
            <w:tcW w:w="42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4700" w:type="dxa"/>
            <w:vAlign w:val="bottom"/>
            <w:gridSpan w:val="8"/>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40" w:type="dxa"/>
            <w:vAlign w:val="bottom"/>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540" w:type="dxa"/>
            <w:vAlign w:val="bottom"/>
            <w:gridSpan w:val="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PART II OTHER INFORMATION</w:t>
              </w:r>
            </w:hyperlink>
          </w:p>
        </w:tc>
        <w:tc>
          <w:tcPr>
            <w:tcW w:w="1720" w:type="dxa"/>
            <w:vAlign w:val="bottom"/>
          </w:tcPr>
          <w:p>
            <w:pPr>
              <w:spacing w:after="0"/>
              <w:rPr>
                <w:sz w:val="17"/>
                <w:szCs w:val="17"/>
                <w:color w:val="auto"/>
              </w:rPr>
            </w:pPr>
          </w:p>
        </w:tc>
      </w:tr>
      <w:tr>
        <w:trPr>
          <w:trHeight w:val="196"/>
        </w:trPr>
        <w:tc>
          <w:tcPr>
            <w:tcW w:w="440" w:type="dxa"/>
            <w:vAlign w:val="bottom"/>
          </w:tcPr>
          <w:p>
            <w:pPr>
              <w:jc w:val="right"/>
              <w:ind w:right="212"/>
              <w:spacing w:after="0" w:line="196" w:lineRule="exact"/>
              <w:rPr>
                <w:sz w:val="20"/>
                <w:szCs w:val="20"/>
                <w:color w:val="auto"/>
              </w:rPr>
            </w:pPr>
            <w:r>
              <w:rPr>
                <w:rFonts w:ascii="Arial" w:cs="Arial" w:eastAsia="Arial" w:hAnsi="Arial"/>
                <w:sz w:val="18"/>
                <w:szCs w:val="18"/>
                <w:color w:val="auto"/>
                <w:w w:val="79"/>
              </w:rPr>
              <w:t>1.</w:t>
            </w:r>
          </w:p>
        </w:tc>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40">
              <w:r>
                <w:rPr>
                  <w:rFonts w:ascii="Arial" w:cs="Arial" w:eastAsia="Arial" w:hAnsi="Arial"/>
                  <w:sz w:val="18"/>
                  <w:szCs w:val="18"/>
                  <w:color w:val="0000EE"/>
                  <w:w w:val="85"/>
                </w:rPr>
                <w:t>Legal Proceedings</w:t>
              </w:r>
            </w:hyperlink>
          </w:p>
        </w:tc>
        <w:tc>
          <w:tcPr>
            <w:tcW w:w="2060" w:type="dxa"/>
            <w:vAlign w:val="bottom"/>
            <w:gridSpan w:val="5"/>
          </w:tcPr>
          <w:p>
            <w:pPr>
              <w:spacing w:after="0"/>
              <w:rPr>
                <w:sz w:val="17"/>
                <w:szCs w:val="17"/>
                <w:color w:val="auto"/>
              </w:rPr>
            </w:pPr>
          </w:p>
        </w:tc>
        <w:tc>
          <w:tcPr>
            <w:tcW w:w="2460" w:type="dxa"/>
            <w:vAlign w:val="bottom"/>
            <w:tcBorders>
              <w:top w:val="single" w:sz="8" w:color="0000EE"/>
            </w:tcBorders>
            <w:gridSpan w:val="4"/>
          </w:tcPr>
          <w:p>
            <w:pPr>
              <w:spacing w:after="0"/>
              <w:rPr>
                <w:sz w:val="17"/>
                <w:szCs w:val="17"/>
                <w:color w:val="auto"/>
              </w:rPr>
            </w:pPr>
          </w:p>
        </w:tc>
        <w:tc>
          <w:tcPr>
            <w:tcW w:w="3080" w:type="dxa"/>
            <w:vAlign w:val="bottom"/>
            <w:gridSpan w:val="5"/>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440" w:type="dxa"/>
            <w:vAlign w:val="bottom"/>
          </w:tcPr>
          <w:p>
            <w:pPr>
              <w:jc w:val="right"/>
              <w:ind w:right="212"/>
              <w:spacing w:after="0" w:line="196" w:lineRule="exact"/>
              <w:rPr>
                <w:sz w:val="20"/>
                <w:szCs w:val="20"/>
                <w:color w:val="auto"/>
              </w:rPr>
            </w:pPr>
            <w:r>
              <w:rPr>
                <w:rFonts w:ascii="Arial" w:cs="Arial" w:eastAsia="Arial" w:hAnsi="Arial"/>
                <w:sz w:val="18"/>
                <w:szCs w:val="18"/>
                <w:color w:val="auto"/>
                <w:w w:val="79"/>
              </w:rPr>
              <w:t>2.</w:t>
            </w:r>
          </w:p>
        </w:tc>
        <w:tc>
          <w:tcPr>
            <w:tcW w:w="8900" w:type="dxa"/>
            <w:vAlign w:val="bottom"/>
            <w:gridSpan w:val="1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Share Repurchase Activities</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4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60" w:type="dxa"/>
            <w:vAlign w:val="bottom"/>
            <w:gridSpan w:val="11"/>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440" w:type="dxa"/>
            <w:vAlign w:val="bottom"/>
          </w:tcPr>
          <w:p>
            <w:pPr>
              <w:jc w:val="right"/>
              <w:ind w:right="212"/>
              <w:spacing w:after="0" w:line="196" w:lineRule="exact"/>
              <w:rPr>
                <w:sz w:val="20"/>
                <w:szCs w:val="20"/>
                <w:color w:val="auto"/>
              </w:rPr>
            </w:pPr>
            <w:r>
              <w:rPr>
                <w:rFonts w:ascii="Arial" w:cs="Arial" w:eastAsia="Arial" w:hAnsi="Arial"/>
                <w:sz w:val="18"/>
                <w:szCs w:val="18"/>
                <w:color w:val="auto"/>
                <w:w w:val="79"/>
              </w:rPr>
              <w:t>6.</w:t>
            </w:r>
          </w:p>
        </w:tc>
        <w:tc>
          <w:tcPr>
            <w:tcW w:w="24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Exhibits and Reports on Form 8-K</w:t>
              </w:r>
            </w:hyperlink>
          </w:p>
        </w:tc>
        <w:tc>
          <w:tcPr>
            <w:tcW w:w="6460" w:type="dxa"/>
            <w:vAlign w:val="bottom"/>
            <w:gridSpan w:val="11"/>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44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42">
              <w:r>
                <w:rPr>
                  <w:rFonts w:ascii="Arial" w:cs="Arial" w:eastAsia="Arial" w:hAnsi="Arial"/>
                  <w:sz w:val="18"/>
                  <w:szCs w:val="18"/>
                  <w:color w:val="0000EE"/>
                  <w:w w:val="83"/>
                </w:rPr>
                <w:t>Signatures</w:t>
              </w:r>
            </w:hyperlink>
          </w:p>
        </w:tc>
        <w:tc>
          <w:tcPr>
            <w:tcW w:w="8160" w:type="dxa"/>
            <w:vAlign w:val="bottom"/>
            <w:gridSpan w:val="16"/>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440" w:type="dxa"/>
            <w:vAlign w:val="bottom"/>
          </w:tcPr>
          <w:p>
            <w:pPr>
              <w:spacing w:after="0"/>
              <w:rPr>
                <w:sz w:val="17"/>
                <w:szCs w:val="17"/>
                <w:color w:val="auto"/>
              </w:rPr>
            </w:pPr>
          </w:p>
        </w:tc>
        <w:tc>
          <w:tcPr>
            <w:tcW w:w="9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Certifications</w:t>
              </w:r>
            </w:hyperlink>
          </w:p>
        </w:tc>
        <w:tc>
          <w:tcPr>
            <w:tcW w:w="7940" w:type="dxa"/>
            <w:vAlign w:val="bottom"/>
            <w:gridSpan w:val="15"/>
          </w:tcPr>
          <w:p>
            <w:pPr>
              <w:spacing w:after="0"/>
              <w:rPr>
                <w:sz w:val="17"/>
                <w:szCs w:val="17"/>
                <w:color w:val="auto"/>
              </w:rPr>
            </w:pPr>
          </w:p>
        </w:tc>
        <w:tc>
          <w:tcPr>
            <w:tcW w:w="1720" w:type="dxa"/>
            <w:vAlign w:val="bottom"/>
          </w:tcPr>
          <w:p>
            <w:pPr>
              <w:spacing w:after="0"/>
              <w:rPr>
                <w:sz w:val="17"/>
                <w:szCs w:val="17"/>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PART I — FINANCIAL INFORMATION</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740" w:type="dxa"/>
            <w:vAlign w:val="bottom"/>
            <w:gridSpan w:val="3"/>
          </w:tcPr>
          <w:p>
            <w:pPr>
              <w:ind w:left="32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40" w:type="dxa"/>
            <w:vAlign w:val="bottom"/>
            <w:gridSpan w:val="3"/>
          </w:tcPr>
          <w:p>
            <w:pPr>
              <w:jc w:val="center"/>
              <w:ind w:left="1392"/>
              <w:spacing w:after="0"/>
              <w:rPr>
                <w:sz w:val="20"/>
                <w:szCs w:val="20"/>
                <w:color w:val="auto"/>
              </w:rPr>
            </w:pPr>
            <w:r>
              <w:rPr>
                <w:rFonts w:ascii="Arial" w:cs="Arial" w:eastAsia="Arial" w:hAnsi="Arial"/>
                <w:sz w:val="18"/>
                <w:szCs w:val="18"/>
                <w:b w:val="1"/>
                <w:bCs w:val="1"/>
                <w:color w:val="auto"/>
                <w:w w:val="96"/>
              </w:rPr>
              <w:t>HESS CORPORATION AND CONSOLIDATED SUBSIDIARIES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40" w:type="dxa"/>
            <w:vAlign w:val="bottom"/>
            <w:gridSpan w:val="3"/>
          </w:tcPr>
          <w:p>
            <w:pPr>
              <w:jc w:val="center"/>
              <w:ind w:left="1412"/>
              <w:spacing w:after="0"/>
              <w:rPr>
                <w:sz w:val="20"/>
                <w:szCs w:val="20"/>
                <w:color w:val="auto"/>
              </w:rPr>
            </w:pPr>
            <w:r>
              <w:rPr>
                <w:rFonts w:ascii="Arial" w:cs="Arial" w:eastAsia="Arial" w:hAnsi="Arial"/>
                <w:sz w:val="18"/>
                <w:szCs w:val="18"/>
                <w:b w:val="1"/>
                <w:bCs w:val="1"/>
                <w:color w:val="auto"/>
                <w:w w:val="97"/>
              </w:rPr>
              <w:t>CONSOLIDATED BALANCE SHEET (UNAUDITED)</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24"/>
                <w:szCs w:val="2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7"/>
              </w:rPr>
              <w:t>except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center"/>
              <w:ind w:right="2160"/>
              <w:spacing w:after="0"/>
              <w:rPr>
                <w:sz w:val="20"/>
                <w:szCs w:val="20"/>
                <w:color w:val="auto"/>
              </w:rPr>
            </w:pPr>
            <w:r>
              <w:rPr>
                <w:rFonts w:ascii="Arial" w:cs="Arial" w:eastAsia="Arial" w:hAnsi="Arial"/>
                <w:sz w:val="18"/>
                <w:szCs w:val="18"/>
                <w:b w:val="1"/>
                <w:bCs w:val="1"/>
                <w:color w:val="auto"/>
                <w:w w:val="88"/>
              </w:rPr>
              <w:t>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4"/>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4"/>
          </w:tcPr>
          <w:p>
            <w:pPr>
              <w:ind w:left="20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Trade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4"/>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4"/>
          </w:tcPr>
          <w:p>
            <w:pPr>
              <w:ind w:left="200"/>
              <w:spacing w:after="0"/>
              <w:rPr>
                <w:sz w:val="20"/>
                <w:szCs w:val="20"/>
                <w:color w:val="auto"/>
              </w:rPr>
            </w:pPr>
            <w:r>
              <w:rPr>
                <w:rFonts w:ascii="Arial" w:cs="Arial" w:eastAsia="Arial" w:hAnsi="Arial"/>
                <w:sz w:val="18"/>
                <w:szCs w:val="18"/>
                <w:color w:val="auto"/>
              </w:rPr>
              <w:t>Assets held for sale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740" w:type="dxa"/>
            <w:vAlign w:val="bottom"/>
            <w:gridSpan w:val="3"/>
          </w:tcPr>
          <w:p>
            <w:pPr>
              <w:ind w:left="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INVESTMENTS IN AFFILIATES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2"/>
        </w:trPr>
        <w:tc>
          <w:tcPr>
            <w:tcW w:w="9340" w:type="dxa"/>
            <w:vAlign w:val="bottom"/>
            <w:gridSpan w:val="5"/>
          </w:tcPr>
          <w:p>
            <w:pPr>
              <w:spacing w:after="0"/>
              <w:rPr>
                <w:sz w:val="20"/>
                <w:szCs w:val="20"/>
                <w:color w:val="auto"/>
              </w:rPr>
            </w:pPr>
            <w:r>
              <w:rPr>
                <w:rFonts w:ascii="Arial" w:cs="Arial" w:eastAsia="Arial" w:hAnsi="Arial"/>
                <w:sz w:val="18"/>
                <w:szCs w:val="18"/>
                <w:b w:val="1"/>
                <w:bCs w:val="1"/>
                <w:color w:val="auto"/>
              </w:rPr>
              <w:t>PROPERTY, PLANT AND EQUIPMENT</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 at cost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4"/>
          </w:tcPr>
          <w:p>
            <w:pPr>
              <w:ind w:left="200"/>
              <w:spacing w:after="0"/>
              <w:rPr>
                <w:sz w:val="20"/>
                <w:szCs w:val="20"/>
                <w:color w:val="auto"/>
              </w:rPr>
            </w:pPr>
            <w:r>
              <w:rPr>
                <w:rFonts w:ascii="Arial" w:cs="Arial" w:eastAsia="Arial" w:hAnsi="Arial"/>
                <w:sz w:val="18"/>
                <w:szCs w:val="18"/>
                <w:color w:val="auto"/>
              </w:rPr>
              <w:t>Less: Reserves for depreciation, depletion, amortization and lease impairment</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Property, plant and equipment — net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40" w:type="dxa"/>
            <w:vAlign w:val="bottom"/>
            <w:gridSpan w:val="5"/>
          </w:tcPr>
          <w:p>
            <w:pPr>
              <w:spacing w:after="0"/>
              <w:rPr>
                <w:sz w:val="20"/>
                <w:szCs w:val="20"/>
                <w:color w:val="auto"/>
              </w:rPr>
            </w:pPr>
            <w:r>
              <w:rPr>
                <w:rFonts w:ascii="Arial" w:cs="Arial" w:eastAsia="Arial" w:hAnsi="Arial"/>
                <w:sz w:val="18"/>
                <w:szCs w:val="18"/>
                <w:b w:val="1"/>
                <w:bCs w:val="1"/>
                <w:color w:val="auto"/>
              </w:rPr>
              <w:t>GOODWILL</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DEFERRED INCOME TAXES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4"/>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41,424</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200" w:type="dxa"/>
            <w:vAlign w:val="bottom"/>
            <w:gridSpan w:val="2"/>
            <w:vMerge w:val="restart"/>
          </w:tcPr>
          <w:p>
            <w:pPr>
              <w:jc w:val="center"/>
              <w:ind w:right="216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4"/>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2,067</w:t>
            </w:r>
          </w:p>
        </w:tc>
        <w:tc>
          <w:tcPr>
            <w:tcW w:w="140" w:type="dxa"/>
            <w:vAlign w:val="bottom"/>
          </w:tcPr>
          <w:p>
            <w:pPr>
              <w:spacing w:after="0"/>
              <w:rPr>
                <w:sz w:val="18"/>
                <w:szCs w:val="18"/>
                <w:color w:val="auto"/>
              </w:rPr>
            </w:pPr>
          </w:p>
        </w:tc>
        <w:tc>
          <w:tcPr>
            <w:tcW w:w="3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4"/>
          </w:tcPr>
          <w:p>
            <w:pPr>
              <w:ind w:left="200"/>
              <w:spacing w:after="0"/>
              <w:rPr>
                <w:sz w:val="20"/>
                <w:szCs w:val="20"/>
                <w:color w:val="auto"/>
              </w:rPr>
            </w:pPr>
            <w:r>
              <w:rPr>
                <w:rFonts w:ascii="Arial" w:cs="Arial" w:eastAsia="Arial" w:hAnsi="Arial"/>
                <w:sz w:val="18"/>
                <w:szCs w:val="18"/>
                <w:color w:val="auto"/>
              </w:rPr>
              <w:t>Taxes payable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Liabilities associated with assets held for sale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4"/>
          </w:tcPr>
          <w:p>
            <w:pPr>
              <w:ind w:left="200"/>
              <w:spacing w:after="0"/>
              <w:rPr>
                <w:sz w:val="20"/>
                <w:szCs w:val="20"/>
                <w:color w:val="auto"/>
              </w:rPr>
            </w:pPr>
            <w:r>
              <w:rPr>
                <w:rFonts w:ascii="Arial" w:cs="Arial" w:eastAsia="Arial" w:hAnsi="Arial"/>
                <w:sz w:val="18"/>
                <w:szCs w:val="18"/>
                <w:color w:val="auto"/>
              </w:rPr>
              <w:t>Short-term debt and current maturities of long-term debt</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40" w:type="dxa"/>
            <w:vAlign w:val="bottom"/>
            <w:gridSpan w:val="5"/>
          </w:tcPr>
          <w:p>
            <w:pPr>
              <w:spacing w:after="0"/>
              <w:rPr>
                <w:sz w:val="20"/>
                <w:szCs w:val="20"/>
                <w:color w:val="auto"/>
              </w:rPr>
            </w:pPr>
            <w:r>
              <w:rPr>
                <w:rFonts w:ascii="Arial" w:cs="Arial" w:eastAsia="Arial" w:hAnsi="Arial"/>
                <w:sz w:val="18"/>
                <w:szCs w:val="18"/>
                <w:b w:val="1"/>
                <w:bCs w:val="1"/>
                <w:color w:val="auto"/>
              </w:rPr>
              <w:t>LONG-TERM DEBT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DEFERRED INCOME TAXES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4"/>
          </w:tcPr>
          <w:p>
            <w:pPr>
              <w:spacing w:after="0"/>
              <w:rPr>
                <w:sz w:val="20"/>
                <w:szCs w:val="20"/>
                <w:color w:val="auto"/>
              </w:rPr>
            </w:pPr>
            <w:r>
              <w:rPr>
                <w:rFonts w:ascii="Arial" w:cs="Arial" w:eastAsia="Arial" w:hAnsi="Arial"/>
                <w:sz w:val="18"/>
                <w:szCs w:val="18"/>
                <w:b w:val="1"/>
                <w:bCs w:val="1"/>
                <w:color w:val="auto"/>
              </w:rPr>
              <w:t>ASSET RETIREMENT OBLIGATIONS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OTHER LIABILITIES AND DEFERRED CREDITS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740" w:type="dxa"/>
            <w:vAlign w:val="bottom"/>
            <w:gridSpan w:val="3"/>
          </w:tcPr>
          <w:p>
            <w:pPr>
              <w:ind w:left="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17,182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4"/>
          </w:tcPr>
          <w:p>
            <w:pPr>
              <w:ind w:left="200"/>
              <w:spacing w:after="0"/>
              <w:rPr>
                <w:sz w:val="20"/>
                <w:szCs w:val="20"/>
                <w:color w:val="auto"/>
              </w:rPr>
            </w:pPr>
            <w:r>
              <w:rPr>
                <w:rFonts w:ascii="Arial" w:cs="Arial" w:eastAsia="Arial" w:hAnsi="Arial"/>
                <w:sz w:val="18"/>
                <w:szCs w:val="18"/>
                <w:color w:val="auto"/>
              </w:rPr>
              <w:t>Hess Corporation stockholders’ equity</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Common stock, par value $1.00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Authorized — 600,000,000 shares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Issued — 314,208,324 shares at March 31, 2014;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325,314,177 shares at December 31, 2013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4"/>
          </w:tcPr>
          <w:p>
            <w:pPr>
              <w:ind w:left="420"/>
              <w:spacing w:after="0"/>
              <w:rPr>
                <w:sz w:val="20"/>
                <w:szCs w:val="20"/>
                <w:color w:val="auto"/>
              </w:rPr>
            </w:pPr>
            <w:r>
              <w:rPr>
                <w:rFonts w:ascii="Arial" w:cs="Arial" w:eastAsia="Arial" w:hAnsi="Arial"/>
                <w:sz w:val="18"/>
                <w:szCs w:val="18"/>
                <w:color w:val="auto"/>
              </w:rPr>
              <w:t>Capital in excess of par value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4"/>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Total Hess Corporation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4"/>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 AND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41,424</w:t>
            </w:r>
          </w:p>
        </w:tc>
        <w:tc>
          <w:tcPr>
            <w:tcW w:w="140" w:type="dxa"/>
            <w:vAlign w:val="bottom"/>
          </w:tcPr>
          <w:p>
            <w:pPr>
              <w:spacing w:after="0"/>
              <w:rPr>
                <w:sz w:val="19"/>
                <w:szCs w:val="19"/>
                <w:color w:val="auto"/>
              </w:rPr>
            </w:pPr>
          </w:p>
        </w:tc>
        <w:tc>
          <w:tcPr>
            <w:tcW w:w="3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HESS CORPORATION AND CONSOLIDATED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CONSOLIDATED INCOME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1"/>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4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w w:val="87"/>
              </w:rPr>
              <w:t>(In millions,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AND NON-OPERATING INCOME</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Sales and other operating revenues</w:t>
            </w:r>
          </w:p>
        </w:tc>
        <w:tc>
          <w:tcPr>
            <w:tcW w:w="16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5,554</w:t>
            </w:r>
          </w:p>
        </w:tc>
        <w:tc>
          <w:tcPr>
            <w:tcW w:w="140" w:type="dxa"/>
            <w:vAlign w:val="bottom"/>
          </w:tcPr>
          <w:p>
            <w:pPr>
              <w:spacing w:after="0"/>
              <w:rPr>
                <w:sz w:val="18"/>
                <w:szCs w:val="18"/>
                <w:color w:val="auto"/>
              </w:rPr>
            </w:pPr>
          </w:p>
        </w:tc>
        <w:tc>
          <w:tcPr>
            <w:tcW w:w="3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Gains on asset sales, net</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 and non-operating income</w:t>
            </w:r>
          </w:p>
        </w:tc>
        <w:tc>
          <w:tcPr>
            <w:tcW w:w="14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products sold (excluding items shown separately below)</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Operating costs and expenses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Production and severance taxes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Marketing expenses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Exploration expenses, including dry holes and lease impairment</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Depreciation, depletion and amortization</w:t>
            </w:r>
          </w:p>
        </w:tc>
        <w:tc>
          <w:tcPr>
            <w:tcW w:w="1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costs and expenses</w:t>
            </w:r>
          </w:p>
        </w:tc>
        <w:tc>
          <w:tcPr>
            <w:tcW w:w="1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1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DISCONTINUED OPERATIONS, NET OF INCOME TAXES</w:t>
            </w:r>
          </w:p>
        </w:tc>
        <w:tc>
          <w:tcPr>
            <w:tcW w:w="1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Net income (loss) attributable to noncontrolling interests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HESS CORPORATION</w:t>
            </w:r>
          </w:p>
        </w:tc>
        <w:tc>
          <w:tcPr>
            <w:tcW w:w="1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HESS CORPORATION PER SHARE</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1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w:t>
            </w:r>
          </w:p>
        </w:tc>
        <w:tc>
          <w:tcPr>
            <w:tcW w:w="1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52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1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1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52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tcPr>
          <w:p>
            <w:pPr>
              <w:ind w:left="200"/>
              <w:spacing w:after="0"/>
              <w:rPr>
                <w:sz w:val="20"/>
                <w:szCs w:val="20"/>
                <w:color w:val="auto"/>
              </w:rPr>
            </w:pPr>
            <w:r>
              <w:rPr>
                <w:rFonts w:ascii="Arial" w:cs="Arial" w:eastAsia="Arial" w:hAnsi="Arial"/>
                <w:sz w:val="18"/>
                <w:szCs w:val="18"/>
                <w:b w:val="1"/>
                <w:bCs w:val="1"/>
                <w:color w:val="auto"/>
              </w:rPr>
              <w:t>OUTSTANDING (DILUTED)</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DIVIDENDS PER SHARE</w:t>
            </w:r>
          </w:p>
        </w:tc>
        <w:tc>
          <w:tcPr>
            <w:tcW w:w="1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HESS CORPORATION AND CONSOLIDATED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CONSOLIDATED COMPREHENSIVE INCOME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20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9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34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22"/>
        </w:trPr>
        <w:tc>
          <w:tcPr>
            <w:tcW w:w="9340" w:type="dxa"/>
            <w:vAlign w:val="bottom"/>
          </w:tcPr>
          <w:p>
            <w:pPr>
              <w:ind w:left="220"/>
              <w:spacing w:after="0"/>
              <w:rPr>
                <w:sz w:val="20"/>
                <w:szCs w:val="20"/>
                <w:color w:val="auto"/>
              </w:rPr>
            </w:pPr>
            <w:r>
              <w:rPr>
                <w:rFonts w:ascii="Arial" w:cs="Arial" w:eastAsia="Arial" w:hAnsi="Arial"/>
                <w:sz w:val="18"/>
                <w:szCs w:val="18"/>
                <w:b w:val="1"/>
                <w:bCs w:val="1"/>
                <w:color w:val="auto"/>
              </w:rPr>
              <w:t>OTHER COMPREHENSIVE INCOME (LOSS):</w:t>
            </w:r>
          </w:p>
        </w:tc>
        <w:tc>
          <w:tcPr>
            <w:tcW w:w="6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3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Derivatives designated as cash flow hedges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660"/>
              <w:spacing w:after="0"/>
              <w:rPr>
                <w:sz w:val="20"/>
                <w:szCs w:val="20"/>
                <w:color w:val="auto"/>
              </w:rPr>
            </w:pPr>
            <w:r>
              <w:rPr>
                <w:rFonts w:ascii="Arial" w:cs="Arial" w:eastAsia="Arial" w:hAnsi="Arial"/>
                <w:sz w:val="18"/>
                <w:szCs w:val="18"/>
                <w:color w:val="auto"/>
              </w:rPr>
              <w:t>Effect of hedge (gains) losses reclassified to income</w:t>
            </w:r>
          </w:p>
        </w:tc>
        <w:tc>
          <w:tcPr>
            <w:tcW w:w="6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taxes on effect of hedge (gains) losses reclassified to income</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340" w:type="dxa"/>
            <w:vAlign w:val="bottom"/>
            <w:vMerge w:val="restart"/>
          </w:tcPr>
          <w:p>
            <w:pPr>
              <w:ind w:left="880"/>
              <w:spacing w:after="0"/>
              <w:rPr>
                <w:sz w:val="20"/>
                <w:szCs w:val="20"/>
                <w:color w:val="auto"/>
              </w:rPr>
            </w:pPr>
            <w:r>
              <w:rPr>
                <w:rFonts w:ascii="Arial" w:cs="Arial" w:eastAsia="Arial" w:hAnsi="Arial"/>
                <w:sz w:val="18"/>
                <w:szCs w:val="18"/>
                <w:color w:val="auto"/>
              </w:rPr>
              <w:t>Net effect of hedge (gains) losses reclassified to income</w:t>
            </w: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4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fair value of cash flow hedges</w:t>
            </w: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40" w:type="dxa"/>
            <w:vAlign w:val="bottom"/>
          </w:tcPr>
          <w:p>
            <w:pPr>
              <w:ind w:left="660"/>
              <w:spacing w:after="0"/>
              <w:rPr>
                <w:sz w:val="20"/>
                <w:szCs w:val="20"/>
                <w:color w:val="auto"/>
              </w:rPr>
            </w:pPr>
            <w:r>
              <w:rPr>
                <w:rFonts w:ascii="Arial" w:cs="Arial" w:eastAsia="Arial" w:hAnsi="Arial"/>
                <w:sz w:val="18"/>
                <w:szCs w:val="18"/>
                <w:color w:val="auto"/>
              </w:rPr>
              <w:t>Income taxes on change in fair value of cash flow hedges</w:t>
            </w:r>
          </w:p>
        </w:tc>
        <w:tc>
          <w:tcPr>
            <w:tcW w:w="60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fair value of cash flow hedges</w:t>
            </w: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tcPr>
          <w:p>
            <w:pPr>
              <w:ind w:left="440"/>
              <w:spacing w:after="0"/>
              <w:rPr>
                <w:sz w:val="20"/>
                <w:szCs w:val="20"/>
                <w:color w:val="auto"/>
              </w:rPr>
            </w:pPr>
            <w:r>
              <w:rPr>
                <w:rFonts w:ascii="Arial" w:cs="Arial" w:eastAsia="Arial" w:hAnsi="Arial"/>
                <w:sz w:val="18"/>
                <w:szCs w:val="18"/>
                <w:b w:val="1"/>
                <w:bCs w:val="1"/>
                <w:color w:val="auto"/>
              </w:rPr>
              <w:t>Change in derivatives designated as cash flow hedges, after taxes</w:t>
            </w:r>
          </w:p>
        </w:tc>
        <w:tc>
          <w:tcPr>
            <w:tcW w:w="6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6"/>
        </w:trPr>
        <w:tc>
          <w:tcPr>
            <w:tcW w:w="93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Pension and other postretirement plans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660"/>
              <w:spacing w:after="0"/>
              <w:rPr>
                <w:sz w:val="20"/>
                <w:szCs w:val="20"/>
                <w:color w:val="auto"/>
              </w:rPr>
            </w:pPr>
            <w:r>
              <w:rPr>
                <w:rFonts w:ascii="Arial" w:cs="Arial" w:eastAsia="Arial" w:hAnsi="Arial"/>
                <w:sz w:val="18"/>
                <w:szCs w:val="18"/>
                <w:color w:val="auto"/>
              </w:rPr>
              <w:t>Reduction of unrecognized actuarial losses</w:t>
            </w:r>
          </w:p>
        </w:tc>
        <w:tc>
          <w:tcPr>
            <w:tcW w:w="6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taxes on actuarial changes in plan liabilities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9340" w:type="dxa"/>
            <w:vAlign w:val="bottom"/>
          </w:tcPr>
          <w:p>
            <w:pPr>
              <w:ind w:left="880"/>
              <w:spacing w:after="0"/>
              <w:rPr>
                <w:sz w:val="20"/>
                <w:szCs w:val="20"/>
                <w:color w:val="auto"/>
              </w:rPr>
            </w:pPr>
            <w:r>
              <w:rPr>
                <w:rFonts w:ascii="Arial" w:cs="Arial" w:eastAsia="Arial" w:hAnsi="Arial"/>
                <w:sz w:val="18"/>
                <w:szCs w:val="18"/>
                <w:color w:val="auto"/>
              </w:rPr>
              <w:t>Reduction of unrecognized actuarial losses, net</w:t>
            </w:r>
          </w:p>
        </w:tc>
        <w:tc>
          <w:tcPr>
            <w:tcW w:w="6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Amortization of net actuarial losses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9340" w:type="dxa"/>
            <w:vAlign w:val="bottom"/>
          </w:tcPr>
          <w:p>
            <w:pPr>
              <w:ind w:left="660"/>
              <w:spacing w:after="0"/>
              <w:rPr>
                <w:sz w:val="20"/>
                <w:szCs w:val="20"/>
                <w:color w:val="auto"/>
              </w:rPr>
            </w:pPr>
            <w:r>
              <w:rPr>
                <w:rFonts w:ascii="Arial" w:cs="Arial" w:eastAsia="Arial" w:hAnsi="Arial"/>
                <w:sz w:val="18"/>
                <w:szCs w:val="18"/>
                <w:color w:val="auto"/>
              </w:rPr>
              <w:t>Income taxes on amortization of net actuarial losses</w:t>
            </w:r>
          </w:p>
        </w:tc>
        <w:tc>
          <w:tcPr>
            <w:tcW w:w="60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effect of amortization of net actuarial losses</w:t>
            </w: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tcPr>
          <w:p>
            <w:pPr>
              <w:ind w:left="440"/>
              <w:spacing w:after="0"/>
              <w:rPr>
                <w:sz w:val="20"/>
                <w:szCs w:val="20"/>
                <w:color w:val="auto"/>
              </w:rPr>
            </w:pPr>
            <w:r>
              <w:rPr>
                <w:rFonts w:ascii="Arial" w:cs="Arial" w:eastAsia="Arial" w:hAnsi="Arial"/>
                <w:sz w:val="18"/>
                <w:szCs w:val="18"/>
                <w:b w:val="1"/>
                <w:bCs w:val="1"/>
                <w:color w:val="auto"/>
              </w:rPr>
              <w:t>Change in pension and other postretirement plans, after taxes</w:t>
            </w:r>
          </w:p>
        </w:tc>
        <w:tc>
          <w:tcPr>
            <w:tcW w:w="6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116"/>
        </w:trPr>
        <w:tc>
          <w:tcPr>
            <w:tcW w:w="93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Foreign currency translation adjustment</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660"/>
              <w:spacing w:after="0"/>
              <w:rPr>
                <w:sz w:val="20"/>
                <w:szCs w:val="20"/>
                <w:color w:val="auto"/>
              </w:rPr>
            </w:pPr>
            <w:r>
              <w:rPr>
                <w:rFonts w:ascii="Arial" w:cs="Arial" w:eastAsia="Arial" w:hAnsi="Arial"/>
                <w:sz w:val="18"/>
                <w:szCs w:val="18"/>
                <w:color w:val="auto"/>
              </w:rPr>
              <w:t>Foreign currency translation adjustment</w:t>
            </w: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Reclassified to Gains on asset sales, net</w:t>
            </w:r>
          </w:p>
        </w:tc>
        <w:tc>
          <w:tcPr>
            <w:tcW w:w="6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40" w:type="dxa"/>
            <w:vAlign w:val="bottom"/>
          </w:tcPr>
          <w:p>
            <w:pPr>
              <w:ind w:left="440"/>
              <w:spacing w:after="0"/>
              <w:rPr>
                <w:sz w:val="20"/>
                <w:szCs w:val="20"/>
                <w:color w:val="auto"/>
              </w:rPr>
            </w:pPr>
            <w:r>
              <w:rPr>
                <w:rFonts w:ascii="Arial" w:cs="Arial" w:eastAsia="Arial" w:hAnsi="Arial"/>
                <w:sz w:val="18"/>
                <w:szCs w:val="18"/>
                <w:b w:val="1"/>
                <w:bCs w:val="1"/>
                <w:color w:val="auto"/>
              </w:rPr>
              <w:t>Change in foreign currency translation adjustment</w:t>
            </w:r>
          </w:p>
        </w:tc>
        <w:tc>
          <w:tcPr>
            <w:tcW w:w="6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OTHER COMPREHENSIVE INCOME (LOSS)</w:t>
            </w: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6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7"/>
        </w:trPr>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3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ATTRIBUTABLE TO HESS CORPORATION</w:t>
            </w: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40" w:type="dxa"/>
            <w:vAlign w:val="bottom"/>
            <w:vMerge w:val="continue"/>
          </w:tcPr>
          <w:p>
            <w:pPr>
              <w:spacing w:after="0"/>
              <w:rPr>
                <w:sz w:val="19"/>
                <w:szCs w:val="19"/>
                <w:color w:val="auto"/>
              </w:rPr>
            </w:pPr>
          </w:p>
        </w:tc>
        <w:tc>
          <w:tcPr>
            <w:tcW w:w="600" w:type="dxa"/>
            <w:vAlign w:val="bottom"/>
          </w:tcPr>
          <w:p>
            <w:pPr>
              <w:jc w:val="right"/>
              <w:ind w:right="448"/>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448</w:t>
            </w:r>
          </w:p>
        </w:tc>
        <w:tc>
          <w:tcPr>
            <w:tcW w:w="14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HESS CORPORATION AND CONSOLIDATED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CONSOLIDATED CASH FLOWS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left="334"/>
              <w:spacing w:after="0"/>
              <w:rPr>
                <w:sz w:val="20"/>
                <w:szCs w:val="20"/>
                <w:color w:val="auto"/>
              </w:rPr>
            </w:pPr>
            <w:r>
              <w:rPr>
                <w:rFonts w:ascii="Arial" w:cs="Arial" w:eastAsia="Arial" w:hAnsi="Arial"/>
                <w:sz w:val="14"/>
                <w:szCs w:val="14"/>
                <w:b w:val="1"/>
                <w:bCs w:val="1"/>
                <w:color w:val="auto"/>
                <w:w w:val="89"/>
              </w:rPr>
              <w:t>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4"/>
          </w:tcPr>
          <w:p>
            <w:pPr>
              <w:jc w:val="center"/>
              <w:ind w:left="334"/>
              <w:spacing w:after="0" w:line="142" w:lineRule="exact"/>
              <w:rPr>
                <w:sz w:val="20"/>
                <w:szCs w:val="20"/>
                <w:color w:val="auto"/>
              </w:rPr>
            </w:pPr>
            <w:r>
              <w:rPr>
                <w:rFonts w:ascii="Arial" w:cs="Arial" w:eastAsia="Arial" w:hAnsi="Arial"/>
                <w:sz w:val="14"/>
                <w:szCs w:val="14"/>
                <w:b w:val="1"/>
                <w:bCs w:val="1"/>
                <w:color w:val="auto"/>
                <w:w w:val="89"/>
              </w:rPr>
              <w:t>(In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421</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Exploratory dry hole costs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Lease impairment</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Gains on asset sales, net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Gain recognized on acquisition of controlling interest in equity investee</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equity affiliates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Stock compensation expense</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(benefit) for deferred income taxes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ind w:left="640"/>
              <w:spacing w:after="0"/>
              <w:rPr>
                <w:sz w:val="20"/>
                <w:szCs w:val="20"/>
                <w:color w:val="auto"/>
              </w:rPr>
            </w:pPr>
            <w:r>
              <w:rPr>
                <w:rFonts w:ascii="Arial" w:cs="Arial" w:eastAsia="Arial" w:hAnsi="Arial"/>
                <w:sz w:val="18"/>
                <w:szCs w:val="18"/>
                <w:color w:val="auto"/>
              </w:rPr>
              <w:t>Cash provided by (used in) operating activities — continuing operations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provided by (used in) operating activities — discontinued operations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asset sales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provided by (used in) investing activities — continuing operations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640"/>
              <w:spacing w:after="0"/>
              <w:rPr>
                <w:sz w:val="20"/>
                <w:szCs w:val="20"/>
                <w:color w:val="auto"/>
              </w:rPr>
            </w:pPr>
            <w:r>
              <w:rPr>
                <w:rFonts w:ascii="Arial" w:cs="Arial" w:eastAsia="Arial" w:hAnsi="Arial"/>
                <w:sz w:val="18"/>
                <w:szCs w:val="18"/>
                <w:color w:val="auto"/>
              </w:rPr>
              <w:t>Cash provided by (used in) investing activities — discontinued operations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borrowings (repayments) of debt with maturities of 90 days or less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Debt with maturities of greater than 90 days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Repayments</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paid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Common stock acquired and retired</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stock options exercised, including income tax benefits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ind w:left="640"/>
              <w:spacing w:after="0"/>
              <w:rPr>
                <w:sz w:val="20"/>
                <w:szCs w:val="20"/>
                <w:color w:val="auto"/>
              </w:rPr>
            </w:pPr>
            <w:r>
              <w:rPr>
                <w:rFonts w:ascii="Arial" w:cs="Arial" w:eastAsia="Arial" w:hAnsi="Arial"/>
                <w:sz w:val="18"/>
                <w:szCs w:val="18"/>
                <w:color w:val="auto"/>
              </w:rPr>
              <w:t>Cash provided by (used in) financing activities — continuing operations</w:t>
            </w: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provided by (used in) financing activities — discontinued operations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HESS CORPORATION AND CONSOLIDATED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CONSOLIDATED EQUITY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Capital in</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Total Hess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79"/>
              </w:rPr>
              <w:t>Excess of</w:t>
            </w:r>
          </w:p>
        </w:tc>
        <w:tc>
          <w:tcPr>
            <w:tcW w:w="12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1"/>
              </w:rPr>
              <w:t>Retained</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Par</w:t>
            </w:r>
          </w:p>
        </w:tc>
        <w:tc>
          <w:tcPr>
            <w:tcW w:w="12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Earnings</w:t>
            </w: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JANUARY 1, 2014</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3,498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21,235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(338)</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24,720</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24,784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386</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6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 (loss)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448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Activity related to restricted common stock awards, net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w w:val="99"/>
              </w:rPr>
              <w:t>Employee stock options, including income tax benefits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w:t>
            </w:r>
          </w:p>
        </w:tc>
        <w:tc>
          <w:tcPr>
            <w:tcW w:w="1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Performance share units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Cash dividends declared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acquired and retired</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(849)</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Noncontrolling interests, net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MARCH 31, 2014</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3,413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20,693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24,144</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24,242</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JANUARY 1, 2013</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380" w:type="dxa"/>
            <w:vAlign w:val="bottom"/>
            <w:gridSpan w:val="2"/>
            <w:vMerge w:val="continue"/>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342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3,524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17,717</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(493)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21,090</w:t>
            </w:r>
          </w:p>
        </w:tc>
        <w:tc>
          <w:tcPr>
            <w:tcW w:w="14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113</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21,203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1,276</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 (loss)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w w:val="98"/>
              </w:rPr>
              <w:t>Activity related to restricted common stock awards, net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Employee stock options, including income tax benefits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Performance share units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Noncontrolling interests, net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MARCH 31, 2013</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3,569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18,958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22,418</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HESS CORPORATION AND CONSOLIDATED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jc w:val="both"/>
        <w:ind w:left="240" w:firstLine="223"/>
        <w:spacing w:after="0" w:line="256" w:lineRule="auto"/>
        <w:rPr>
          <w:sz w:val="20"/>
          <w:szCs w:val="20"/>
          <w:color w:val="auto"/>
        </w:rPr>
      </w:pPr>
      <w:r>
        <w:rPr>
          <w:rFonts w:ascii="Arial" w:cs="Arial" w:eastAsia="Arial" w:hAnsi="Arial"/>
          <w:sz w:val="18"/>
          <w:szCs w:val="18"/>
          <w:color w:val="auto"/>
        </w:rPr>
        <w:t>The financial statements included in this report reflect all normal and recurring adjustments which, in the opinion of management, are necessary for a fair presentation of Hess Corporation’s (the Corporation or Hess) consolidated financial position at March 31, 2014 and December 31, 2013 and the consolidated results of operations and cash flows for the three month periods ended March 31, 2014 and 2013. The unaudited results of operations for the interim periods reported are not necessarily indicative of results to be expected for the full year.</w:t>
      </w:r>
    </w:p>
    <w:p>
      <w:pPr>
        <w:spacing w:after="0" w:line="143" w:lineRule="exact"/>
        <w:rPr>
          <w:sz w:val="20"/>
          <w:szCs w:val="20"/>
          <w:color w:val="auto"/>
        </w:rPr>
      </w:pPr>
    </w:p>
    <w:p>
      <w:pPr>
        <w:jc w:val="both"/>
        <w:ind w:left="240" w:firstLine="223"/>
        <w:spacing w:after="0" w:line="298" w:lineRule="auto"/>
        <w:rPr>
          <w:sz w:val="20"/>
          <w:szCs w:val="20"/>
          <w:color w:val="auto"/>
        </w:rPr>
      </w:pPr>
      <w:r>
        <w:rPr>
          <w:rFonts w:ascii="Arial" w:cs="Arial" w:eastAsia="Arial" w:hAnsi="Arial"/>
          <w:sz w:val="16"/>
          <w:szCs w:val="16"/>
          <w:color w:val="auto"/>
        </w:rPr>
        <w:t>In the first quarter of 2013, the Corporation announced several initiatives to continue its transformation into a more focused pure play Exploration and Production (E&amp;P) company. The transformation plan included fully exiting the Corporation’s Marketing and Refining (M&amp;R) businesses, the sale of mature E&amp;P assets, and the pursuit of monetizing Bakken midstream assets by 2015. See also Note 2, Discontinued Operations, Note 4, Dispositions and Note 16, Subsequent Events in the Notes to the Consolidated Financial Statements for a description of the divestitures included in this report.</w:t>
      </w:r>
    </w:p>
    <w:p>
      <w:pPr>
        <w:spacing w:after="0" w:line="113" w:lineRule="exact"/>
        <w:rPr>
          <w:sz w:val="20"/>
          <w:szCs w:val="20"/>
          <w:color w:val="auto"/>
        </w:rPr>
      </w:pPr>
    </w:p>
    <w:p>
      <w:pPr>
        <w:jc w:val="both"/>
        <w:ind w:left="240" w:firstLine="223"/>
        <w:spacing w:after="0" w:line="294" w:lineRule="auto"/>
        <w:rPr>
          <w:sz w:val="20"/>
          <w:szCs w:val="20"/>
          <w:color w:val="auto"/>
        </w:rPr>
      </w:pPr>
      <w:r>
        <w:rPr>
          <w:rFonts w:ascii="Arial" w:cs="Arial" w:eastAsia="Arial" w:hAnsi="Arial"/>
          <w:sz w:val="16"/>
          <w:szCs w:val="16"/>
          <w:color w:val="auto"/>
        </w:rPr>
        <w:t>The financial statements were prepared in accordance with the requirements of the Securities and Exchange Commission (SEC) for interim reporting. As permitted under those rules, certain notes or other financial information that are normally required by U.S. generally accepted accounting principles (GAAP) have been condensed or omitted from these interim financial statements. These statements, therefore, should be read in conjunction with the consolidated financial statements and related notes included in the Corporation’s Annual Report on Form 10-K for the year ended December 31, 2013. Certain information in the financial statements and notes has been reclassified to conform to the current period presentation.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96" w:lineRule="exact"/>
        <w:rPr>
          <w:sz w:val="20"/>
          <w:szCs w:val="20"/>
          <w:color w:val="auto"/>
        </w:rPr>
      </w:pPr>
    </w:p>
    <w:p>
      <w:pPr>
        <w:jc w:val="both"/>
        <w:ind w:left="240" w:firstLine="223"/>
        <w:spacing w:after="0" w:line="259" w:lineRule="auto"/>
        <w:rPr>
          <w:sz w:val="20"/>
          <w:szCs w:val="20"/>
          <w:color w:val="auto"/>
        </w:rPr>
      </w:pPr>
      <w:r>
        <w:rPr>
          <w:rFonts w:ascii="Arial" w:cs="Arial" w:eastAsia="Arial" w:hAnsi="Arial"/>
          <w:sz w:val="18"/>
          <w:szCs w:val="18"/>
          <w:color w:val="auto"/>
        </w:rPr>
        <w:t>As a result of the Corporation’s divestiture of its energy marketing business and terminals network and its cessation of refining at the Port Reading facility, the results of operations for these businesses have been reported as discontinued operations in the Statement of Consolidated Income. These businesses were previously included in the M&amp;R segment.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and other operating revenues and Income from discontinued operations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93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36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r>
      <w:tr>
        <w:trPr>
          <w:trHeight w:val="142"/>
        </w:trPr>
        <w:tc>
          <w:tcPr>
            <w:tcW w:w="9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Sales and other operating revenues</w:t>
            </w:r>
          </w:p>
        </w:tc>
        <w:tc>
          <w:tcPr>
            <w:tcW w:w="600" w:type="dxa"/>
            <w:vAlign w:val="bottom"/>
            <w:shd w:val="clear" w:color="auto" w:fill="CCEEFF"/>
          </w:tcPr>
          <w:p>
            <w:pPr>
              <w:jc w:val="right"/>
              <w:ind w:right="42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100" w:type="dxa"/>
            <w:vAlign w:val="bottom"/>
            <w:shd w:val="clear" w:color="auto" w:fill="CCEEFF"/>
          </w:tcPr>
          <w:p>
            <w:pPr>
              <w:spacing w:after="0"/>
              <w:rPr>
                <w:sz w:val="18"/>
                <w:szCs w:val="18"/>
                <w:color w:val="auto"/>
              </w:rPr>
            </w:pPr>
          </w:p>
        </w:tc>
      </w:tr>
      <w:tr>
        <w:trPr>
          <w:trHeight w:val="20"/>
        </w:trPr>
        <w:tc>
          <w:tcPr>
            <w:tcW w:w="9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9360" w:type="dxa"/>
            <w:vAlign w:val="bottom"/>
          </w:tcPr>
          <w:p>
            <w:pPr>
              <w:spacing w:after="0"/>
              <w:rPr>
                <w:sz w:val="20"/>
                <w:szCs w:val="20"/>
                <w:color w:val="auto"/>
              </w:rPr>
            </w:pPr>
            <w:r>
              <w:rPr>
                <w:rFonts w:ascii="Arial" w:cs="Arial" w:eastAsia="Arial" w:hAnsi="Arial"/>
                <w:sz w:val="18"/>
                <w:szCs w:val="18"/>
                <w:color w:val="auto"/>
              </w:rPr>
              <w:t>Income from discontinued operations before income taxes</w:t>
            </w:r>
          </w:p>
        </w:tc>
        <w:tc>
          <w:tcPr>
            <w:tcW w:w="600" w:type="dxa"/>
            <w:vAlign w:val="bottom"/>
          </w:tcPr>
          <w:p>
            <w:pPr>
              <w:jc w:val="right"/>
              <w:ind w:right="42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4"/>
                <w:szCs w:val="24"/>
                <w:color w:val="auto"/>
              </w:rPr>
            </w:pPr>
          </w:p>
        </w:tc>
      </w:tr>
      <w:tr>
        <w:trPr>
          <w:trHeight w:val="110"/>
        </w:trPr>
        <w:tc>
          <w:tcPr>
            <w:tcW w:w="9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9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tax provision (benefit)</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360" w:type="dxa"/>
            <w:vAlign w:val="bottom"/>
          </w:tcPr>
          <w:p>
            <w:pPr>
              <w:ind w:left="220"/>
              <w:spacing w:after="0"/>
              <w:rPr>
                <w:sz w:val="20"/>
                <w:szCs w:val="20"/>
                <w:color w:val="auto"/>
              </w:rPr>
            </w:pPr>
            <w:r>
              <w:rPr>
                <w:rFonts w:ascii="Arial" w:cs="Arial" w:eastAsia="Arial" w:hAnsi="Arial"/>
                <w:sz w:val="18"/>
                <w:szCs w:val="18"/>
                <w:color w:val="auto"/>
              </w:rPr>
              <w:t>Deferred tax provision (benefit)</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income taxes</w:t>
            </w:r>
          </w:p>
        </w:tc>
        <w:tc>
          <w:tcPr>
            <w:tcW w:w="6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r>
      <w:tr>
        <w:trPr>
          <w:trHeight w:val="222"/>
        </w:trPr>
        <w:tc>
          <w:tcPr>
            <w:tcW w:w="9360" w:type="dxa"/>
            <w:vAlign w:val="bottom"/>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600" w:type="dxa"/>
            <w:vAlign w:val="bottom"/>
          </w:tcPr>
          <w:p>
            <w:pPr>
              <w:jc w:val="right"/>
              <w:ind w:right="42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40" w:firstLine="223"/>
        <w:spacing w:after="0" w:line="259" w:lineRule="auto"/>
        <w:rPr>
          <w:sz w:val="20"/>
          <w:szCs w:val="20"/>
          <w:color w:val="auto"/>
        </w:rPr>
      </w:pPr>
      <w:r>
        <w:rPr>
          <w:rFonts w:ascii="Arial" w:cs="Arial" w:eastAsia="Arial" w:hAnsi="Arial"/>
          <w:sz w:val="18"/>
          <w:szCs w:val="18"/>
          <w:color w:val="auto"/>
        </w:rPr>
        <w:t>The Corporation’s retail marketing business and energy trading joint venture have been classified as continuing operations for both periods presented while the Corporation is pursuing different methods of disposal and experiencing lengthy marketing processes. The retail marketing business and energy trading joint venture will be classified as discontinued operations when these businesses are divested.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HESS CORPORATION AND CONSOLIDATED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Exit and Disposal Costs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the components of and changes in the Corporation’s restructuring accruals: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Exploration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Retail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Marketing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Discontinued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Production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and 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Corporate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Operations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Employee Severance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Balance at January 1, 2014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320" w:type="dxa"/>
            <w:vAlign w:val="bottom"/>
            <w:gridSpan w:val="3"/>
          </w:tcPr>
          <w:p>
            <w:pPr>
              <w:jc w:val="right"/>
              <w:ind w:right="8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34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Payments</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at March 31, 2014</w:t>
            </w:r>
          </w:p>
        </w:tc>
        <w:tc>
          <w:tcPr>
            <w:tcW w:w="7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420" w:type="dxa"/>
            <w:vAlign w:val="bottom"/>
            <w:gridSpan w:val="2"/>
          </w:tcPr>
          <w:p>
            <w:pPr>
              <w:spacing w:after="0"/>
              <w:rPr>
                <w:sz w:val="20"/>
                <w:szCs w:val="20"/>
                <w:color w:val="auto"/>
              </w:rPr>
            </w:pPr>
            <w:r>
              <w:rPr>
                <w:rFonts w:ascii="Arial" w:cs="Arial" w:eastAsia="Arial" w:hAnsi="Arial"/>
                <w:sz w:val="18"/>
                <w:szCs w:val="18"/>
                <w:color w:val="auto"/>
              </w:rPr>
              <w:t>Facility and Other Exit Costs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at January 1, 2014</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Provision</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Balance at March 31, 2014</w:t>
            </w: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restructuring accruals at March 31, 2014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360" w:type="dxa"/>
            <w:vAlign w:val="bottom"/>
            <w:gridSpan w:val="11"/>
          </w:tcPr>
          <w:p>
            <w:pPr>
              <w:ind w:left="440"/>
              <w:spacing w:after="0"/>
              <w:rPr>
                <w:sz w:val="20"/>
                <w:szCs w:val="20"/>
                <w:color w:val="auto"/>
              </w:rPr>
            </w:pPr>
            <w:r>
              <w:rPr>
                <w:rFonts w:ascii="Arial" w:cs="Arial" w:eastAsia="Arial" w:hAnsi="Arial"/>
                <w:sz w:val="18"/>
                <w:szCs w:val="18"/>
                <w:color w:val="auto"/>
                <w:w w:val="89"/>
              </w:rPr>
              <w:t>The following table provides the classification of costs associated with the Corporation’s restructuring program:</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center"/>
              <w:ind w:left="396"/>
              <w:spacing w:after="0"/>
              <w:rPr>
                <w:sz w:val="20"/>
                <w:szCs w:val="20"/>
                <w:color w:val="auto"/>
              </w:rPr>
            </w:pPr>
            <w:r>
              <w:rPr>
                <w:rFonts w:ascii="Arial" w:cs="Arial" w:eastAsia="Arial" w:hAnsi="Arial"/>
                <w:sz w:val="14"/>
                <w:szCs w:val="14"/>
                <w:b w:val="1"/>
                <w:bCs w:val="1"/>
                <w:color w:val="auto"/>
                <w:w w:val="89"/>
              </w:rPr>
              <w:t>March 31,</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6"/>
          </w:tcPr>
          <w:p>
            <w:pPr>
              <w:jc w:val="center"/>
              <w:ind w:right="94"/>
              <w:spacing w:after="0" w:line="142" w:lineRule="exact"/>
              <w:rPr>
                <w:sz w:val="20"/>
                <w:szCs w:val="20"/>
                <w:color w:val="auto"/>
              </w:rPr>
            </w:pPr>
            <w:r>
              <w:rPr>
                <w:rFonts w:ascii="Arial" w:cs="Arial" w:eastAsia="Arial" w:hAnsi="Arial"/>
                <w:sz w:val="14"/>
                <w:szCs w:val="14"/>
                <w:b w:val="1"/>
                <w:bCs w:val="1"/>
                <w:color w:val="auto"/>
                <w:w w:val="89"/>
              </w:rPr>
              <w:t>(In millions)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Employee Severance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Operating costs and expenses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Marketing expenses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Exploration expenses, including dry holes and lease impairment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Income from discontinued operations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employee severance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Facility and Other Exit Costs</w:t>
            </w: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42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Marketing expenses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discontinued operations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Total facility and other exit costs</w:t>
            </w: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40" w:firstLine="223"/>
        <w:spacing w:after="0" w:line="256" w:lineRule="auto"/>
        <w:rPr>
          <w:sz w:val="20"/>
          <w:szCs w:val="20"/>
          <w:color w:val="auto"/>
        </w:rPr>
      </w:pPr>
      <w:r>
        <w:rPr>
          <w:rFonts w:ascii="Arial" w:cs="Arial" w:eastAsia="Arial" w:hAnsi="Arial"/>
          <w:sz w:val="18"/>
          <w:szCs w:val="18"/>
          <w:color w:val="auto"/>
        </w:rPr>
        <w:t>The employee severance charges primarily resulted from the Corporation’s divestiture program announced in March 2013. The severance charges were based on probable amounts incurred under ongoing severance arrangements or other statutory requirements, plus amounts earned through March 31, 2014 under enhanced benefit arrangements. The expense associated with the enhanced benefits is recognized ratably over the estimated service period required for the employee to earn the benefit upon termination.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HESS CORPORATION AND CONSOLIDATED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51" w:lineRule="exact"/>
        <w:rPr>
          <w:sz w:val="20"/>
          <w:szCs w:val="20"/>
          <w:color w:val="auto"/>
        </w:rPr>
      </w:pPr>
    </w:p>
    <w:p>
      <w:pPr>
        <w:jc w:val="both"/>
        <w:ind w:left="240" w:firstLine="223"/>
        <w:spacing w:after="0" w:line="256" w:lineRule="auto"/>
        <w:rPr>
          <w:sz w:val="20"/>
          <w:szCs w:val="20"/>
          <w:color w:val="auto"/>
        </w:rPr>
      </w:pPr>
      <w:r>
        <w:rPr>
          <w:rFonts w:ascii="Arial" w:cs="Arial" w:eastAsia="Arial" w:hAnsi="Arial"/>
          <w:sz w:val="18"/>
          <w:szCs w:val="18"/>
          <w:color w:val="auto"/>
        </w:rPr>
        <w:t>The Corporation expects to incur additional enhanced benefit charges of approximately $25 million beyond the amounts accrued at March 31, 2014, of which $3 million relates to E&amp;P, $10 million to Retail Marketing and Other, $8 million to Corporate and $4 million to discontinued operations. The Corporation’s estimate of employee severance costs could change due to a number of factors, including the number of employees that work through the requisite service date and the timing of when each remaining divestiture occurs.</w:t>
      </w:r>
    </w:p>
    <w:p>
      <w:pPr>
        <w:spacing w:after="0" w:line="143" w:lineRule="exact"/>
        <w:rPr>
          <w:sz w:val="20"/>
          <w:szCs w:val="20"/>
          <w:color w:val="auto"/>
        </w:rPr>
      </w:pPr>
    </w:p>
    <w:p>
      <w:pPr>
        <w:jc w:val="both"/>
        <w:ind w:left="240" w:firstLine="223"/>
        <w:spacing w:after="0" w:line="268" w:lineRule="auto"/>
        <w:rPr>
          <w:sz w:val="20"/>
          <w:szCs w:val="20"/>
          <w:color w:val="auto"/>
        </w:rPr>
      </w:pPr>
      <w:r>
        <w:rPr>
          <w:rFonts w:ascii="Arial" w:cs="Arial" w:eastAsia="Arial" w:hAnsi="Arial"/>
          <w:sz w:val="18"/>
          <w:szCs w:val="18"/>
          <w:color w:val="auto"/>
        </w:rPr>
        <w:t>In the first quarter of 2014, the facility and other exit costs were primarily professional fees associated with the divestitures. The facility and other exit costs in the first quarter of 2013 primarily related to the shutdown costs for Port Reading refining operations.</w:t>
      </w:r>
    </w:p>
    <w:p>
      <w:pPr>
        <w:spacing w:after="0" w:line="132" w:lineRule="exact"/>
        <w:rPr>
          <w:sz w:val="20"/>
          <w:szCs w:val="20"/>
          <w:color w:val="auto"/>
        </w:rPr>
      </w:pPr>
    </w:p>
    <w:p>
      <w:pPr>
        <w:jc w:val="both"/>
        <w:ind w:left="240" w:firstLine="223"/>
        <w:spacing w:after="0" w:line="259" w:lineRule="auto"/>
        <w:rPr>
          <w:sz w:val="20"/>
          <w:szCs w:val="20"/>
          <w:color w:val="auto"/>
        </w:rPr>
      </w:pPr>
      <w:r>
        <w:rPr>
          <w:rFonts w:ascii="Arial" w:cs="Arial" w:eastAsia="Arial" w:hAnsi="Arial"/>
          <w:sz w:val="18"/>
          <w:szCs w:val="18"/>
          <w:color w:val="auto"/>
        </w:rPr>
        <w:t>For the accrued employee severance at March 31, 2014 totaling $150 million, the Corporation expects to pay approximately 80% in 2014 and the remainder in 2015 and 2016. For the accrued facility and other exit costs totaling $108 million, the Corporation expects to pay approximately 35% in 2014 and the remainder in 2015 and beyond.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Dispositions</w:t>
      </w:r>
    </w:p>
    <w:p>
      <w:pPr>
        <w:spacing w:after="0" w:line="96" w:lineRule="exact"/>
        <w:rPr>
          <w:sz w:val="20"/>
          <w:szCs w:val="20"/>
          <w:color w:val="auto"/>
        </w:rPr>
      </w:pPr>
    </w:p>
    <w:p>
      <w:pPr>
        <w:jc w:val="both"/>
        <w:ind w:left="240" w:firstLine="223"/>
        <w:spacing w:after="0" w:line="290" w:lineRule="auto"/>
        <w:rPr>
          <w:sz w:val="20"/>
          <w:szCs w:val="20"/>
          <w:color w:val="auto"/>
        </w:rPr>
      </w:pPr>
      <w:r>
        <w:rPr>
          <w:rFonts w:ascii="Arial" w:cs="Arial" w:eastAsia="Arial" w:hAnsi="Arial"/>
          <w:sz w:val="16"/>
          <w:szCs w:val="16"/>
          <w:color w:val="auto"/>
        </w:rPr>
        <w:t>In the first quarter of 2014, the Corporation completed the sale of its interest in the Pangkah asset, offshore Indonesia for cash proceeds of approximately $650 million. This transaction resulted in a pre-tax gain of $31 million after deducting the net book value of assets, including allocated goodwill of $56 million. In addition, the Corporation sold an exploration block in Indonesia for a pre-tax loss of $20 million. In January 2014, the Corporation also announced that it had reached agreement to sell approximately 74,000 undeveloped acres in the dry gas corridor of the Utica shale for $924 million. Approximately 47,000 acres were sold in March 2014 for proceeds of approximately $590 million. There was no gain or loss as a result of this transaction as the carrying amount of undeveloped leasehold costs was reduced by the sales proceeds. See Note 16, Subsequent Events in the Notes to the Consolidated Financial Statements for dispositions occurring after March 31, 2014.</w:t>
      </w:r>
    </w:p>
    <w:p>
      <w:pPr>
        <w:spacing w:after="0" w:line="118" w:lineRule="exact"/>
        <w:rPr>
          <w:sz w:val="20"/>
          <w:szCs w:val="20"/>
          <w:color w:val="auto"/>
        </w:rPr>
      </w:pPr>
    </w:p>
    <w:p>
      <w:pPr>
        <w:jc w:val="both"/>
        <w:ind w:left="240" w:firstLine="223"/>
        <w:spacing w:after="0" w:line="298" w:lineRule="auto"/>
        <w:rPr>
          <w:sz w:val="20"/>
          <w:szCs w:val="20"/>
          <w:color w:val="auto"/>
        </w:rPr>
      </w:pPr>
      <w:r>
        <w:rPr>
          <w:rFonts w:ascii="Arial" w:cs="Arial" w:eastAsia="Arial" w:hAnsi="Arial"/>
          <w:sz w:val="16"/>
          <w:szCs w:val="16"/>
          <w:color w:val="auto"/>
        </w:rPr>
        <w:t>In March 2013, the Corporation sold its interests in the Azeri-Chirag-Guneshli (ACG) fields (Hess 3%), offshore Azerbaijan in the Caspian Sea, and the associated Baku-Tbilisi-Ceyhan (BTC) oil transportation pipeline company (Hess 2%) for cash proceeds of $884 million. The transaction resulted in an after-tax gain of $360 million. In January 2013, the Corporation completed the sale of its interests in the Beryl fields and the Scottish Area Gas Evacuation System (SAGE) in the United Kingdom North Sea for cash proceeds of $442 million. The transaction resulted in an after-tax gain of $323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w:t>
      </w:r>
    </w:p>
    <w:p>
      <w:pPr>
        <w:spacing w:after="0" w:line="96" w:lineRule="exact"/>
        <w:rPr>
          <w:sz w:val="20"/>
          <w:szCs w:val="20"/>
          <w:color w:val="auto"/>
        </w:rPr>
      </w:pPr>
    </w:p>
    <w:p>
      <w:pPr>
        <w:jc w:val="both"/>
        <w:ind w:left="240" w:firstLine="223"/>
        <w:spacing w:after="0" w:line="255" w:lineRule="auto"/>
        <w:rPr>
          <w:sz w:val="20"/>
          <w:szCs w:val="20"/>
          <w:color w:val="auto"/>
        </w:rPr>
      </w:pPr>
      <w:r>
        <w:rPr>
          <w:rFonts w:ascii="Arial" w:cs="Arial" w:eastAsia="Arial" w:hAnsi="Arial"/>
          <w:sz w:val="18"/>
          <w:szCs w:val="18"/>
          <w:color w:val="auto"/>
        </w:rPr>
        <w:t>In January 2014, the Corporation’s retail marketing business acquired its partners’ 56% interest in WilcoHess, a retail gasoline joint venture, for approximately $290 million and the settlement of liabilities. Additionally, as a result of remeasuring the carrying value to fair value of its equity interest in WilcoHess in connection with the business combination, a pre-tax gain of $39 million ($24 million after income taxes) was recognized in Other, net in the Statement of Consolidated Income. Effective from the acquisition date, Hess has consolidated the results of WilcoHess. The impact of this acquisition is not material to the Corporation’s Consolidated Income Statement or Balance Sheet.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Crude oil and other charge stocks</w:t>
            </w:r>
          </w:p>
        </w:tc>
        <w:tc>
          <w:tcPr>
            <w:tcW w:w="5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w:t>
            </w:r>
          </w:p>
        </w:tc>
        <w:tc>
          <w:tcPr>
            <w:tcW w:w="3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Refined petroleum products and natural gas</w:t>
            </w: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Less: LIFO adjustment</w:t>
            </w:r>
          </w:p>
        </w:tc>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1"/>
        </w:trPr>
        <w:tc>
          <w:tcPr>
            <w:tcW w:w="438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Merchandise, materials and supplies</w:t>
            </w:r>
          </w:p>
        </w:tc>
        <w:tc>
          <w:tcPr>
            <w:tcW w:w="4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80" w:type="dxa"/>
            <w:vAlign w:val="bottom"/>
          </w:tcPr>
          <w:p>
            <w:pPr>
              <w:ind w:left="440"/>
              <w:spacing w:after="0"/>
              <w:rPr>
                <w:sz w:val="20"/>
                <w:szCs w:val="20"/>
                <w:color w:val="auto"/>
              </w:rPr>
            </w:pPr>
            <w:r>
              <w:rPr>
                <w:rFonts w:ascii="Arial" w:cs="Arial" w:eastAsia="Arial" w:hAnsi="Arial"/>
                <w:sz w:val="18"/>
                <w:szCs w:val="18"/>
                <w:color w:val="auto"/>
              </w:rPr>
              <w:t>Total inventories</w:t>
            </w:r>
          </w:p>
        </w:tc>
        <w:tc>
          <w:tcPr>
            <w:tcW w:w="5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1,055</w:t>
            </w:r>
          </w:p>
        </w:tc>
        <w:tc>
          <w:tcPr>
            <w:tcW w:w="3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960" w:type="dxa"/>
            <w:vAlign w:val="bottom"/>
            <w:vMerge w:val="restart"/>
          </w:tcPr>
          <w:p>
            <w:pPr>
              <w:jc w:val="right"/>
              <w:ind w:right="3492"/>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HESS CORPORATION AND CONSOLIDATED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51" w:lineRule="exact"/>
        <w:rPr>
          <w:sz w:val="20"/>
          <w:szCs w:val="20"/>
          <w:color w:val="auto"/>
        </w:rPr>
      </w:pPr>
    </w:p>
    <w:p>
      <w:pPr>
        <w:jc w:val="both"/>
        <w:ind w:left="240" w:firstLine="223"/>
        <w:spacing w:after="0" w:line="256" w:lineRule="auto"/>
        <w:rPr>
          <w:sz w:val="20"/>
          <w:szCs w:val="20"/>
          <w:color w:val="auto"/>
        </w:rPr>
      </w:pPr>
      <w:r>
        <w:rPr>
          <w:rFonts w:ascii="Arial" w:cs="Arial" w:eastAsia="Arial" w:hAnsi="Arial"/>
          <w:sz w:val="18"/>
          <w:szCs w:val="18"/>
          <w:color w:val="auto"/>
        </w:rPr>
        <w:t>In the first quarter of 2014 and 2013, the Corporation reduced last-in, first-out (LIFO) inventories, which are carried at lower costs than current inventory costs, resulting in gains of $25 million ($16 million after income taxes) and $218 million ($137 million after income taxes), respectively. These gains were classified in Income from discontinued operations. Inventories related to the E&amp;P segment were $655 million at March 31, 2014 and $599 million at December 31, 2013.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96" w:lineRule="exact"/>
        <w:rPr>
          <w:sz w:val="20"/>
          <w:szCs w:val="20"/>
          <w:color w:val="auto"/>
        </w:rPr>
      </w:pPr>
    </w:p>
    <w:p>
      <w:pPr>
        <w:jc w:val="both"/>
        <w:ind w:left="240" w:firstLine="223"/>
        <w:spacing w:after="0" w:line="298" w:lineRule="auto"/>
        <w:rPr>
          <w:sz w:val="20"/>
          <w:szCs w:val="20"/>
          <w:color w:val="auto"/>
        </w:rPr>
      </w:pPr>
      <w:r>
        <w:rPr>
          <w:rFonts w:ascii="Arial" w:cs="Arial" w:eastAsia="Arial" w:hAnsi="Arial"/>
          <w:sz w:val="16"/>
          <w:szCs w:val="16"/>
          <w:b w:val="1"/>
          <w:bCs w:val="1"/>
          <w:i w:val="1"/>
          <w:iCs w:val="1"/>
          <w:color w:val="auto"/>
        </w:rPr>
        <w:t xml:space="preserve">Assets Held for Sale: </w:t>
      </w:r>
      <w:r>
        <w:rPr>
          <w:rFonts w:ascii="Arial" w:cs="Arial" w:eastAsia="Arial" w:hAnsi="Arial"/>
          <w:sz w:val="16"/>
          <w:szCs w:val="16"/>
          <w:color w:val="auto"/>
        </w:rPr>
        <w:t>At March 31, 2014, the Corporation classified as held for sale its oil and gas assets in Thailand totaling $366 million, primarily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comprising the net property, plant and equipment balances and allocated goodwill of $76 million. In addition, liabilities, primarily comprising asset retirement obligations and deferred income taxes totaling $193 million, were reported in Liabilities associated with assets held for sale. See Note 16, Subsequent Events in the Notes to the Consolidated Financial Statements for completion of the sale of the Corporation’s assets in Thailand.</w:t>
      </w:r>
    </w:p>
    <w:p>
      <w:pPr>
        <w:spacing w:after="0" w:line="113" w:lineRule="exact"/>
        <w:rPr>
          <w:sz w:val="20"/>
          <w:szCs w:val="20"/>
          <w:color w:val="auto"/>
        </w:rPr>
      </w:pPr>
    </w:p>
    <w:p>
      <w:pPr>
        <w:jc w:val="both"/>
        <w:ind w:left="240" w:firstLine="223"/>
        <w:spacing w:after="0" w:line="255" w:lineRule="auto"/>
        <w:rPr>
          <w:sz w:val="20"/>
          <w:szCs w:val="20"/>
          <w:color w:val="auto"/>
        </w:rPr>
      </w:pPr>
      <w:r>
        <w:rPr>
          <w:rFonts w:ascii="Arial" w:cs="Arial" w:eastAsia="Arial" w:hAnsi="Arial"/>
          <w:sz w:val="18"/>
          <w:szCs w:val="18"/>
          <w:color w:val="auto"/>
        </w:rPr>
        <w:t>At December 31, 2013, assets totaling $1,097 million, primarily consisting of the net property, plant and equipment balances as well as allocated goodwill of $76 million, for Thailand and the Pangkah Field, offshore Indonesia (Hess 75%) were reported as assets held for sale. In addition, liabilities related to these properties totaling $286 million, primarily consisting of asset retirement obligations and deferred income taxes, were reported in Liabilities associated with assets held for sale. In January 2014, the Corporation completed the sale of its interest in Pangkah. See Note 4, Dispositions in the Notes to the Consolidated Financial Statements.</w:t>
      </w:r>
    </w:p>
    <w:p>
      <w:pPr>
        <w:spacing w:after="0" w:line="143" w:lineRule="exact"/>
        <w:rPr>
          <w:sz w:val="20"/>
          <w:szCs w:val="20"/>
          <w:color w:val="auto"/>
        </w:rPr>
      </w:pPr>
    </w:p>
    <w:p>
      <w:pPr>
        <w:jc w:val="both"/>
        <w:ind w:left="240" w:firstLine="223"/>
        <w:spacing w:after="0" w:line="268" w:lineRule="auto"/>
        <w:rPr>
          <w:sz w:val="20"/>
          <w:szCs w:val="20"/>
          <w:color w:val="auto"/>
        </w:rPr>
      </w:pPr>
      <w:r>
        <w:rPr>
          <w:rFonts w:ascii="Arial" w:cs="Arial" w:eastAsia="Arial" w:hAnsi="Arial"/>
          <w:sz w:val="18"/>
          <w:szCs w:val="18"/>
          <w:b w:val="1"/>
          <w:bCs w:val="1"/>
          <w:i w:val="1"/>
          <w:iCs w:val="1"/>
          <w:color w:val="auto"/>
        </w:rPr>
        <w:t xml:space="preserve">Capitalized Exploratory Well Costs: </w:t>
      </w:r>
      <w:r>
        <w:rPr>
          <w:rFonts w:ascii="Arial" w:cs="Arial" w:eastAsia="Arial" w:hAnsi="Arial"/>
          <w:sz w:val="18"/>
          <w:szCs w:val="18"/>
          <w:color w:val="auto"/>
        </w:rPr>
        <w:t>The following table discloses the net changes in capitalized exploratory well costs pending determination of proved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reserves for the three months ended March 31, 2014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21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Additions to capitalized exploratory well costs pending the determination of proved reserves</w:t>
            </w: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18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40" w:firstLine="223"/>
        <w:spacing w:after="0" w:line="285" w:lineRule="auto"/>
        <w:rPr>
          <w:sz w:val="20"/>
          <w:szCs w:val="20"/>
          <w:color w:val="auto"/>
        </w:rPr>
      </w:pPr>
      <w:r>
        <w:rPr>
          <w:rFonts w:ascii="Arial" w:cs="Arial" w:eastAsia="Arial" w:hAnsi="Arial"/>
          <w:sz w:val="16"/>
          <w:szCs w:val="16"/>
          <w:color w:val="auto"/>
        </w:rPr>
        <w:t>The preceding table excludes exploratory dry hole costs of $9 million which were incurred and subsequently expensed in 2014. Capitalized exploratory well costs greater than one year old after completion of drilling were $1,956 million at March 31, 2014. Approximately 43% of the capitalized well costs in excess of one year relates to Block WA-390-P, offshore Western Australia, where development planning and commercial activities, including negotiations with potential liquefaction partners, are ongoing. Successful negotiation with a third party liquefaction partner is necessary before the Corporation can negotiate a gas sales agreement and sanction development of the project. Approximately 26% relates to the Corporation’s Pony discovery on Block 468 in the deepwater Gulf of Mexico, and 7% relates to the Pony #3 well on Block 469. The Corporation has signed an exchange agreement with the partners of the adjacent Green Canyon Blocks 512 and 511, which contain the Knotty Head discovery. Under this agreement, Hess was appointed operator and has a 25% working interest in the blocks, which are now collectively referred to as the Stampede project. An application to unitize Blocks 468, 512, the western half of 469 and the eastern half of 511 was filed with the Bureau of Safety and Environmental Enforcement in the first quarter of 2014. Field development planning is progressing and the project is targeted for sanction in 2014. Approximately 19% relates to offshore Ghana where the Corporation has drilled seven successful exploration wells. Appraisal plans for the seven wells on the block were submitted to the Ghanaian government for approval in June 2013. Four plans have been approved and discussions continue with the government on the three remaining appraisal plans. The Corporation plans to commence a three well appraisal drilling program in the second quarter of 2014. The remainder of the capitalized well costs in excess of one year relates to projects where further drilling is planned or development planning and other assessment activities are ongoing to determine the economic and operating viability of the projects.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88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w w:val="99"/>
              </w:rPr>
              <w:t>PART I — FINANCIAL INFORMATION (CONT’D.)</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1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6"/>
              </w:rPr>
              <w:t>HESS CORPORATION AND CONSOLIDATED SUBSIDIARIES</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71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8"/>
              </w:rPr>
              <w:t>NOTES TO CONSOLIDATED FINANCIAL STATEMENTS (UNAUDITED)</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9560" w:type="dxa"/>
            <w:vAlign w:val="bottom"/>
            <w:gridSpan w:val="5"/>
          </w:tcPr>
          <w:p>
            <w:pPr>
              <w:spacing w:after="0"/>
              <w:rPr>
                <w:sz w:val="20"/>
                <w:szCs w:val="20"/>
                <w:color w:val="auto"/>
              </w:rPr>
            </w:pPr>
            <w:r>
              <w:rPr>
                <w:rFonts w:ascii="Arial" w:cs="Arial" w:eastAsia="Arial" w:hAnsi="Arial"/>
                <w:sz w:val="18"/>
                <w:szCs w:val="18"/>
                <w:b w:val="1"/>
                <w:bCs w:val="1"/>
                <w:color w:val="auto"/>
              </w:rPr>
              <w:t>8. Goodwill</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540" w:type="dxa"/>
            <w:vAlign w:val="bottom"/>
            <w:gridSpan w:val="4"/>
          </w:tcPr>
          <w:p>
            <w:pPr>
              <w:ind w:left="440"/>
              <w:spacing w:after="0"/>
              <w:rPr>
                <w:sz w:val="20"/>
                <w:szCs w:val="20"/>
                <w:color w:val="auto"/>
              </w:rPr>
            </w:pPr>
            <w:r>
              <w:rPr>
                <w:rFonts w:ascii="Arial" w:cs="Arial" w:eastAsia="Arial" w:hAnsi="Arial"/>
                <w:sz w:val="18"/>
                <w:szCs w:val="18"/>
                <w:color w:val="auto"/>
              </w:rPr>
              <w:t>The changes in the carrying amount of goodwill are as follows (in millions):</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2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January 1, 2014</w:t>
            </w:r>
          </w:p>
        </w:tc>
        <w:tc>
          <w:tcPr>
            <w:tcW w:w="12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4"/>
          </w:tcPr>
          <w:p>
            <w:pPr>
              <w:ind w:left="200"/>
              <w:spacing w:after="0"/>
              <w:rPr>
                <w:sz w:val="20"/>
                <w:szCs w:val="20"/>
                <w:color w:val="auto"/>
              </w:rPr>
            </w:pPr>
            <w:r>
              <w:rPr>
                <w:rFonts w:ascii="Arial" w:cs="Arial" w:eastAsia="Arial" w:hAnsi="Arial"/>
                <w:sz w:val="18"/>
                <w:szCs w:val="18"/>
                <w:color w:val="auto"/>
              </w:rPr>
              <w:t>Acquisitions *</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goodwill resulting from the Corporation’s WilcoHess acquisition. See Note 5, Acquisition, in the Notes to the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96" w:lineRule="exact"/>
        <w:rPr>
          <w:sz w:val="20"/>
          <w:szCs w:val="20"/>
          <w:color w:val="auto"/>
        </w:rPr>
      </w:pPr>
    </w:p>
    <w:p>
      <w:pPr>
        <w:jc w:val="both"/>
        <w:ind w:left="240" w:firstLine="223"/>
        <w:spacing w:after="0" w:line="259" w:lineRule="auto"/>
        <w:rPr>
          <w:sz w:val="20"/>
          <w:szCs w:val="20"/>
          <w:color w:val="auto"/>
        </w:rPr>
      </w:pPr>
      <w:r>
        <w:rPr>
          <w:rFonts w:ascii="Arial" w:cs="Arial" w:eastAsia="Arial" w:hAnsi="Arial"/>
          <w:sz w:val="18"/>
          <w:szCs w:val="18"/>
          <w:color w:val="auto"/>
        </w:rPr>
        <w:t>In the first quarter of 2014, the Corporation repaid $333 million of debt, including $74 million assumed in the acquisition of WilcoHess in January 2014. See also Note 5, Acquisition, in the Notes to the Consolidated Financial Statements. There were no borrowings or repayments under the Corporation’s available credit facilities in the first quarter of 2014.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Non-operating Income</w:t>
      </w:r>
    </w:p>
    <w:p>
      <w:pPr>
        <w:spacing w:after="0" w:line="96" w:lineRule="exact"/>
        <w:rPr>
          <w:sz w:val="20"/>
          <w:szCs w:val="20"/>
          <w:color w:val="auto"/>
        </w:rPr>
      </w:pPr>
    </w:p>
    <w:p>
      <w:pPr>
        <w:jc w:val="both"/>
        <w:ind w:left="240" w:firstLine="223"/>
        <w:spacing w:after="0" w:line="259" w:lineRule="auto"/>
        <w:rPr>
          <w:sz w:val="20"/>
          <w:szCs w:val="20"/>
          <w:color w:val="auto"/>
        </w:rPr>
      </w:pPr>
      <w:r>
        <w:rPr>
          <w:rFonts w:ascii="Arial" w:cs="Arial" w:eastAsia="Arial" w:hAnsi="Arial"/>
          <w:sz w:val="18"/>
          <w:szCs w:val="18"/>
          <w:color w:val="auto"/>
        </w:rPr>
        <w:t>In the first quarter of 2014, the Corporation recorded a charge of $84 million ($52 million after income taxes) to reduce to fair value its investment in the Bayonne Energy Center (BEC) joint venture (Hess 50%) based on a Level 3 fair value measurement. This charge was included in Other, net in the Statement of Consolidated Income.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Pre-tax foreign currency gains (losses) included in Other, net in the Statement of Consolidated Income amounted to the following:</w:t>
      </w:r>
    </w:p>
    <w:p>
      <w:pPr>
        <w:spacing w:after="0" w:line="248"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Three Months Ended</w:t>
      </w:r>
    </w:p>
    <w:p>
      <w:pPr>
        <w:jc w:val="center"/>
        <w:ind w:left="9240"/>
        <w:spacing w:after="0" w:line="221"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3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4"/>
          </w:tcPr>
          <w:p>
            <w:pPr>
              <w:jc w:val="center"/>
              <w:ind w:right="3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currency gains (losses)</w:t>
            </w: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(32)</w:t>
            </w:r>
          </w:p>
        </w:tc>
        <w:tc>
          <w:tcPr>
            <w:tcW w:w="0" w:type="dxa"/>
            <w:vAlign w:val="bottom"/>
          </w:tcPr>
          <w:p>
            <w:pPr>
              <w:spacing w:after="0"/>
              <w:rPr>
                <w:sz w:val="1"/>
                <w:szCs w:val="1"/>
                <w:color w:val="auto"/>
              </w:rPr>
            </w:pPr>
          </w:p>
        </w:tc>
      </w:tr>
      <w:tr>
        <w:trPr>
          <w:trHeight w:val="20"/>
        </w:trPr>
        <w:tc>
          <w:tcPr>
            <w:tcW w:w="9340" w:type="dxa"/>
            <w:vAlign w:val="bottom"/>
            <w:vMerge w:val="restart"/>
          </w:tcPr>
          <w:p>
            <w:pPr>
              <w:spacing w:after="0"/>
              <w:rPr>
                <w:sz w:val="20"/>
                <w:szCs w:val="20"/>
                <w:color w:val="auto"/>
              </w:rPr>
            </w:pPr>
            <w:r>
              <w:rPr>
                <w:rFonts w:ascii="Arial" w:cs="Arial" w:eastAsia="Arial" w:hAnsi="Arial"/>
                <w:sz w:val="18"/>
                <w:szCs w:val="18"/>
                <w:b w:val="1"/>
                <w:bCs w:val="1"/>
                <w:color w:val="auto"/>
              </w:rPr>
              <w:t>11. Retirement Plans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3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340" w:type="dxa"/>
            <w:vAlign w:val="bottom"/>
          </w:tcPr>
          <w:p>
            <w:pPr>
              <w:ind w:left="460"/>
              <w:spacing w:after="0"/>
              <w:rPr>
                <w:sz w:val="20"/>
                <w:szCs w:val="20"/>
                <w:color w:val="auto"/>
              </w:rPr>
            </w:pPr>
            <w:r>
              <w:rPr>
                <w:rFonts w:ascii="Arial" w:cs="Arial" w:eastAsia="Arial" w:hAnsi="Arial"/>
                <w:sz w:val="18"/>
                <w:szCs w:val="18"/>
                <w:color w:val="auto"/>
              </w:rPr>
              <w:t>Components of net periodic pension cost consisted of the following:</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9340" w:type="dxa"/>
            <w:vAlign w:val="bottom"/>
          </w:tcPr>
          <w:p>
            <w:pPr>
              <w:spacing w:after="0"/>
              <w:rPr>
                <w:sz w:val="24"/>
                <w:szCs w:val="24"/>
                <w:color w:val="auto"/>
              </w:rPr>
            </w:pPr>
          </w:p>
        </w:tc>
        <w:tc>
          <w:tcPr>
            <w:tcW w:w="1700" w:type="dxa"/>
            <w:vAlign w:val="bottom"/>
            <w:gridSpan w:val="5"/>
          </w:tcPr>
          <w:p>
            <w:pPr>
              <w:jc w:val="center"/>
              <w:ind w:left="208"/>
              <w:spacing w:after="0"/>
              <w:rPr>
                <w:sz w:val="20"/>
                <w:szCs w:val="20"/>
                <w:color w:val="auto"/>
              </w:rPr>
            </w:pPr>
            <w:r>
              <w:rPr>
                <w:rFonts w:ascii="Arial" w:cs="Arial" w:eastAsia="Arial" w:hAnsi="Arial"/>
                <w:sz w:val="14"/>
                <w:szCs w:val="14"/>
                <w:b w:val="1"/>
                <w:bCs w:val="1"/>
                <w:color w:val="auto"/>
                <w:w w:val="88"/>
              </w:rPr>
              <w:t>Three Months Ended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89"/>
              </w:rPr>
              <w:t>March 31,</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34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4"/>
          </w:tcPr>
          <w:p>
            <w:pPr>
              <w:jc w:val="center"/>
              <w:ind w:right="3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Interest cost</w:t>
            </w:r>
          </w:p>
        </w:tc>
        <w:tc>
          <w:tcPr>
            <w:tcW w:w="6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6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(33)</w:t>
            </w:r>
          </w:p>
        </w:tc>
        <w:tc>
          <w:tcPr>
            <w:tcW w:w="0" w:type="dxa"/>
            <w:vAlign w:val="bottom"/>
          </w:tcPr>
          <w:p>
            <w:pPr>
              <w:spacing w:after="0"/>
              <w:rPr>
                <w:sz w:val="1"/>
                <w:szCs w:val="1"/>
                <w:color w:val="auto"/>
              </w:rPr>
            </w:pPr>
          </w:p>
        </w:tc>
      </w:tr>
      <w:tr>
        <w:trPr>
          <w:trHeight w:val="223"/>
        </w:trPr>
        <w:tc>
          <w:tcPr>
            <w:tcW w:w="934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expense</w:t>
            </w: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firstLine="223"/>
        <w:spacing w:after="0" w:line="268" w:lineRule="auto"/>
        <w:rPr>
          <w:sz w:val="20"/>
          <w:szCs w:val="20"/>
          <w:color w:val="auto"/>
        </w:rPr>
      </w:pPr>
      <w:r>
        <w:rPr>
          <w:rFonts w:ascii="Arial" w:cs="Arial" w:eastAsia="Arial" w:hAnsi="Arial"/>
          <w:sz w:val="18"/>
          <w:szCs w:val="18"/>
          <w:color w:val="auto"/>
        </w:rPr>
        <w:t>In 2014, the Corporation expects to contribute approximately $80 million to its funded pension plans. Through March 31, 2014, the Corporation contributed approximately $20 million of this amount.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HESS CORPORATION AND CONSOLIDATED SUBSIDIARIES</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Weighted Average Common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net income and weighted average number of common shares used in the basic and diluted earnings per share computations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89"/>
              </w:rPr>
              <w:t>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jc w:val="center"/>
              <w:ind w:left="357"/>
              <w:spacing w:after="0" w:line="129" w:lineRule="exact"/>
              <w:rPr>
                <w:sz w:val="20"/>
                <w:szCs w:val="20"/>
                <w:color w:val="auto"/>
              </w:rPr>
            </w:pPr>
            <w:r>
              <w:rPr>
                <w:rFonts w:ascii="Arial" w:cs="Arial" w:eastAsia="Arial" w:hAnsi="Arial"/>
                <w:sz w:val="14"/>
                <w:szCs w:val="14"/>
                <w:b w:val="1"/>
                <w:bCs w:val="1"/>
                <w:color w:val="auto"/>
                <w:w w:val="89"/>
              </w:rPr>
              <w:t>(In millions,</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Less: Net income (loss) attributable to noncontrolling interests</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 attributable to Hess Corporation</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Hess Corporation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4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common stock</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Stock options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Performance share units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Hess Corporation per share: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9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40" w:firstLine="223"/>
        <w:spacing w:after="0" w:line="256" w:lineRule="auto"/>
        <w:rPr>
          <w:sz w:val="20"/>
          <w:szCs w:val="20"/>
          <w:color w:val="auto"/>
        </w:rPr>
      </w:pPr>
      <w:r>
        <w:rPr>
          <w:rFonts w:ascii="Arial" w:cs="Arial" w:eastAsia="Arial" w:hAnsi="Arial"/>
          <w:sz w:val="18"/>
          <w:szCs w:val="18"/>
          <w:color w:val="auto"/>
        </w:rPr>
        <w:t>The Corporation granted 1,016,801 shares of restricted stock, 292,662 performance share units (PSUs) and 162,911 stock options in the first quarter of 2014 and 1,199,332 shares of restricted stock and 279,093 PSUs for the same period in 2013. The weighted average common shares used in the diluted earnings per share calculations exclude the effect of 3,371,122 out-of-the-money stock options for the three months ended March 31, 2014 and 6,077,460 out-of-the-money stock options for the same period in 2013.</w:t>
      </w:r>
    </w:p>
    <w:p>
      <w:pPr>
        <w:spacing w:after="0" w:line="143" w:lineRule="exact"/>
        <w:rPr>
          <w:sz w:val="20"/>
          <w:szCs w:val="20"/>
          <w:color w:val="auto"/>
        </w:rPr>
      </w:pPr>
    </w:p>
    <w:p>
      <w:pPr>
        <w:jc w:val="both"/>
        <w:ind w:left="240" w:firstLine="223"/>
        <w:spacing w:after="0" w:line="298" w:lineRule="auto"/>
        <w:rPr>
          <w:sz w:val="20"/>
          <w:szCs w:val="20"/>
          <w:color w:val="auto"/>
        </w:rPr>
      </w:pPr>
      <w:r>
        <w:rPr>
          <w:rFonts w:ascii="Arial" w:cs="Arial" w:eastAsia="Arial" w:hAnsi="Arial"/>
          <w:sz w:val="16"/>
          <w:szCs w:val="16"/>
          <w:color w:val="auto"/>
        </w:rPr>
        <w:t>In March 2013, the Corporation announced a board authorized plan to repurchase up to $4 billion of outstanding common stock using proceeds from its announced asset divestiture program. The share repurchase program commenced in August 2013. In the first quarter of 2014, the Corporation purchased approximately 12.6 million shares for a total cost of approximately $1.0 billion, at an average cost of $79.33 per share including transaction fees. As of March 31, 2014, the Corporation may purchase up to approximately $1.5 billion of additional common stock under its board authorized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HESS CORPORATION AND CONSOLIDATED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Guarantees and Contingencies</w:t>
      </w:r>
    </w:p>
    <w:p>
      <w:pPr>
        <w:spacing w:after="0" w:line="96" w:lineRule="exact"/>
        <w:rPr>
          <w:sz w:val="20"/>
          <w:szCs w:val="20"/>
          <w:color w:val="auto"/>
        </w:rPr>
      </w:pPr>
    </w:p>
    <w:p>
      <w:pPr>
        <w:jc w:val="both"/>
        <w:ind w:left="240" w:firstLine="223"/>
        <w:spacing w:after="0" w:line="290" w:lineRule="auto"/>
        <w:rPr>
          <w:sz w:val="20"/>
          <w:szCs w:val="20"/>
          <w:color w:val="auto"/>
        </w:rPr>
      </w:pPr>
      <w:r>
        <w:rPr>
          <w:rFonts w:ascii="Arial" w:cs="Arial" w:eastAsia="Arial" w:hAnsi="Arial"/>
          <w:sz w:val="16"/>
          <w:szCs w:val="16"/>
          <w:color w:val="auto"/>
        </w:rPr>
        <w:t>The Corporation is subject to loss contingencies with respect to various claims, lawsuits and other proceedings. The Corporation cannot predict with certainty if, how or when such claims, lawsuits and proceedings will be resolved or what the eventual relief, if any, may be. Numerous issues may need to be resolved, including through lengthy discovery, conciliation and/or arbitration proceedings, or litigation before a loss or range of loss can be reasonably estimated. Subject to the foregoing, in management’s opinion, based upon currently known facts and circumstances, the outcome of such lawsuits, claims and proceedings is not expected to have a material adverse effect on the financial condition of the Corporation. However, the Corporation could incur judgments, enter into settlements or revise its opinion regarding the outcome of certain matters, and such developments could have a material adverse effect on its results of operations in the period in which the amounts are accrued and its cash flows in the period in which the amounts are paid.</w:t>
      </w:r>
    </w:p>
    <w:p>
      <w:pPr>
        <w:spacing w:after="0" w:line="118" w:lineRule="exact"/>
        <w:rPr>
          <w:sz w:val="20"/>
          <w:szCs w:val="20"/>
          <w:color w:val="auto"/>
        </w:rPr>
      </w:pPr>
    </w:p>
    <w:p>
      <w:pPr>
        <w:jc w:val="both"/>
        <w:ind w:left="240" w:firstLine="223"/>
        <w:spacing w:after="0" w:line="287" w:lineRule="auto"/>
        <w:rPr>
          <w:sz w:val="20"/>
          <w:szCs w:val="20"/>
          <w:color w:val="auto"/>
        </w:rPr>
      </w:pPr>
      <w:r>
        <w:rPr>
          <w:rFonts w:ascii="Arial" w:cs="Arial" w:eastAsia="Arial" w:hAnsi="Arial"/>
          <w:sz w:val="16"/>
          <w:szCs w:val="16"/>
          <w:color w:val="auto"/>
        </w:rPr>
        <w:t>The Corporation, along with many other companies engaged in refining and marketing of gasoline, has been a party to lawsuits and claims related to the use of methyl tertiary butyl ether (MTBE) in gasoline. A series of similar lawsuits, many involving water utilities or governmental entities, were filed in jurisdictions across the U.S. against producers of MTBE and petroleum refiners who produced gasoline containing MTBE, including the Corporation. The principal allegation in all cases was that gasoline containing MTBE is a defective product and that these parties are strictly liable in proportion to their share of the gasoline market for damage to groundwater resources and are required to take remedial action to ameliorate the alleged effects on the environment of releases of MTBE. In 2008, the majority of the cases against the Corporation were settled. In 2010 and 2011, additional cases were settled including an action brought in state court by the State of New Hampshire, but cases brought by the State of New Jersey and the Commonwealth of Puerto Rico remained unresolved at year-end 2013. In March 2014, the Corporation agreed to settle claims against it arising out of the New Jersey action for approximately $35 million. The settlement is subject to completion of a 30 day notice and comment period and entry of the settlement by the trial judge. The Corporation has reserves to fully cover this settlement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96" w:lineRule="exact"/>
        <w:rPr>
          <w:sz w:val="20"/>
          <w:szCs w:val="20"/>
          <w:color w:val="auto"/>
        </w:rPr>
      </w:pPr>
    </w:p>
    <w:p>
      <w:pPr>
        <w:jc w:val="both"/>
        <w:ind w:left="240" w:firstLine="223"/>
        <w:spacing w:after="0" w:line="256" w:lineRule="auto"/>
        <w:rPr>
          <w:sz w:val="20"/>
          <w:szCs w:val="20"/>
          <w:color w:val="auto"/>
        </w:rPr>
      </w:pPr>
      <w:r>
        <w:rPr>
          <w:rFonts w:ascii="Arial" w:cs="Arial" w:eastAsia="Arial" w:hAnsi="Arial"/>
          <w:sz w:val="18"/>
          <w:szCs w:val="18"/>
          <w:color w:val="auto"/>
        </w:rPr>
        <w:t>The Corporation is transitioning to a pure play E&amp;P company. The results of operations for the downstream businesses that have been sold or ceased operations during 2013 have been classified as discontinued operations. The Corporation currently has two operating segments; E&amp;P and Retail Marketing and Other, which consists of the remaining downstream businesses that it plans to divest. This structure is used by the chief operating decision maker to allocate resources and assess operating performance.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Corporation’s results by operating segment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left="338"/>
              <w:spacing w:after="0"/>
              <w:rPr>
                <w:sz w:val="20"/>
                <w:szCs w:val="20"/>
                <w:color w:val="auto"/>
              </w:rPr>
            </w:pPr>
            <w:r>
              <w:rPr>
                <w:rFonts w:ascii="Arial" w:cs="Arial" w:eastAsia="Arial" w:hAnsi="Arial"/>
                <w:sz w:val="14"/>
                <w:szCs w:val="14"/>
                <w:b w:val="1"/>
                <w:bCs w:val="1"/>
                <w:color w:val="auto"/>
                <w:w w:val="89"/>
              </w:rPr>
              <w:t>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4"/>
          </w:tcPr>
          <w:p>
            <w:pPr>
              <w:jc w:val="center"/>
              <w:ind w:left="338"/>
              <w:spacing w:after="0" w:line="142" w:lineRule="exact"/>
              <w:rPr>
                <w:sz w:val="20"/>
                <w:szCs w:val="20"/>
                <w:color w:val="auto"/>
              </w:rPr>
            </w:pPr>
            <w:r>
              <w:rPr>
                <w:rFonts w:ascii="Arial" w:cs="Arial" w:eastAsia="Arial" w:hAnsi="Arial"/>
                <w:sz w:val="14"/>
                <w:szCs w:val="14"/>
                <w:b w:val="1"/>
                <w:bCs w:val="1"/>
                <w:color w:val="auto"/>
                <w:w w:val="89"/>
              </w:rPr>
              <w:t>(In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Sales and other operating revenues:</w:t>
            </w:r>
          </w:p>
        </w:tc>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Exploration and Production</w:t>
            </w:r>
          </w:p>
        </w:tc>
        <w:tc>
          <w:tcPr>
            <w:tcW w:w="4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2,673</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Retail Marketing and Other</w:t>
            </w:r>
          </w:p>
        </w:tc>
        <w:tc>
          <w:tcPr>
            <w:tcW w:w="4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Total</w:t>
            </w:r>
          </w:p>
        </w:tc>
        <w:tc>
          <w:tcPr>
            <w:tcW w:w="4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5,554</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Hess Corporation:</w:t>
            </w:r>
          </w:p>
        </w:tc>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Exploration and Production</w:t>
            </w:r>
          </w:p>
        </w:tc>
        <w:tc>
          <w:tcPr>
            <w:tcW w:w="4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508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Retail Marketing and Other</w:t>
            </w:r>
          </w:p>
        </w:tc>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Corporate and Interest</w:t>
            </w:r>
          </w:p>
        </w:tc>
        <w:tc>
          <w:tcPr>
            <w:tcW w:w="4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4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4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720" w:type="dxa"/>
            <w:vAlign w:val="bottom"/>
            <w:vMerge w:val="restart"/>
          </w:tcPr>
          <w:p>
            <w:pPr>
              <w:jc w:val="right"/>
              <w:ind w:right="3452"/>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HESS CORPORATION AND CONSOLIDATED SUBSIDIARIES</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Identifiable assets by operating segment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59"/>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4"/>
                <w:szCs w:val="14"/>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9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83"/>
              </w:rPr>
              <w:t>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Exploration and Production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36,714</w:t>
            </w:r>
          </w:p>
        </w:tc>
        <w:tc>
          <w:tcPr>
            <w:tcW w:w="46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37,863</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Retail Marketing and Other</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3,869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Interest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0"/>
        </w:trPr>
        <w:tc>
          <w:tcPr>
            <w:tcW w:w="9440" w:type="dxa"/>
            <w:vAlign w:val="bottom"/>
            <w:vMerge w:val="restart"/>
          </w:tcPr>
          <w:p>
            <w:pPr>
              <w:ind w:left="22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41,240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41,446</w:t>
            </w:r>
          </w:p>
        </w:tc>
        <w:tc>
          <w:tcPr>
            <w:tcW w:w="0" w:type="dxa"/>
            <w:vAlign w:val="bottom"/>
          </w:tcPr>
          <w:p>
            <w:pPr>
              <w:spacing w:after="0"/>
              <w:rPr>
                <w:sz w:val="1"/>
                <w:szCs w:val="1"/>
                <w:color w:val="auto"/>
              </w:rPr>
            </w:pPr>
          </w:p>
        </w:tc>
      </w:tr>
      <w:tr>
        <w:trPr>
          <w:trHeight w:val="218"/>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0"/>
        </w:trPr>
        <w:tc>
          <w:tcPr>
            <w:tcW w:w="944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41,424</w:t>
            </w:r>
          </w:p>
        </w:tc>
        <w:tc>
          <w:tcPr>
            <w:tcW w:w="160" w:type="dxa"/>
            <w:vAlign w:val="bottom"/>
          </w:tcPr>
          <w:p>
            <w:pPr>
              <w:spacing w:after="0"/>
              <w:rPr>
                <w:sz w:val="19"/>
                <w:szCs w:val="19"/>
                <w:color w:val="auto"/>
              </w:rPr>
            </w:pPr>
          </w:p>
        </w:tc>
        <w:tc>
          <w:tcPr>
            <w:tcW w:w="300" w:type="dxa"/>
            <w:vAlign w:val="bottom"/>
          </w:tcPr>
          <w:p>
            <w:pPr>
              <w:jc w:val="right"/>
              <w:ind w:right="12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42,754</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Financial Risk Management and Trading Activities</w:t>
      </w:r>
    </w:p>
    <w:p>
      <w:pPr>
        <w:spacing w:after="0" w:line="96" w:lineRule="exact"/>
        <w:rPr>
          <w:sz w:val="20"/>
          <w:szCs w:val="20"/>
          <w:color w:val="auto"/>
        </w:rPr>
      </w:pPr>
    </w:p>
    <w:p>
      <w:pPr>
        <w:jc w:val="both"/>
        <w:ind w:left="240" w:firstLine="223"/>
        <w:spacing w:after="0" w:line="291" w:lineRule="auto"/>
        <w:rPr>
          <w:sz w:val="20"/>
          <w:szCs w:val="20"/>
          <w:color w:val="auto"/>
        </w:rPr>
      </w:pPr>
      <w:r>
        <w:rPr>
          <w:rFonts w:ascii="Arial" w:cs="Arial" w:eastAsia="Arial" w:hAnsi="Arial"/>
          <w:sz w:val="16"/>
          <w:szCs w:val="16"/>
          <w:color w:val="auto"/>
        </w:rPr>
        <w:t>In the normal course of its business, the Corporation is exposed to commodity risks related to changes in the prices of crude oil and natural gas as well as changes in interest rates and foreign currency values. Prior to the divestiture of its energy marketing business in the fourth quarter of 2014, the Corporation was also exposed to commodity risks related to changes in the prices of the refined petroleum products and electricity. In the disclosures that follow, risk management activities are referred to as corporate and energy marketing risk management activities. The Corporation also has trading operations, through a 50% voting interest in a consolidated partnership, that trades energy-related commodities, securities and derivatives. These activities are also exposed to commodity price risks primarily related to the prices of crude oil, natural gas, refined petroleum products and electricity, as well as foreign currency values.</w:t>
      </w:r>
    </w:p>
    <w:p>
      <w:pPr>
        <w:spacing w:after="0" w:line="120" w:lineRule="exact"/>
        <w:rPr>
          <w:sz w:val="20"/>
          <w:szCs w:val="20"/>
          <w:color w:val="auto"/>
        </w:rPr>
      </w:pPr>
    </w:p>
    <w:p>
      <w:pPr>
        <w:jc w:val="both"/>
        <w:ind w:left="240" w:firstLine="223"/>
        <w:spacing w:after="0" w:line="291" w:lineRule="auto"/>
        <w:rPr>
          <w:sz w:val="20"/>
          <w:szCs w:val="20"/>
          <w:color w:val="auto"/>
        </w:rPr>
      </w:pPr>
      <w:r>
        <w:rPr>
          <w:rFonts w:ascii="Arial" w:cs="Arial" w:eastAsia="Arial" w:hAnsi="Arial"/>
          <w:sz w:val="16"/>
          <w:szCs w:val="16"/>
          <w:color w:val="auto"/>
        </w:rPr>
        <w:t>The Corporation maintains a control environment for all of its risk management and trading activities under the direction of its chief risk officer and through its corporate risk policy, which the Corporation’s senior management has approved. Controls include volumetric, term and value at risk limits. The chief risk officer must approve the trading of new instruments and commodities. Risk limits are monitored and reported on a daily basis to business units and senior management. The Corporation’s risk management department also performs independent price verifications (IPVs) of sources of fair values and validations of valuation models. The Corporation’s treasury department is responsible for administering foreign exchange rate and interest rate hedging programs using similar controls and processes, where applicable.</w:t>
      </w:r>
    </w:p>
    <w:p>
      <w:pPr>
        <w:spacing w:after="0" w:line="120" w:lineRule="exact"/>
        <w:rPr>
          <w:sz w:val="20"/>
          <w:szCs w:val="20"/>
          <w:color w:val="auto"/>
        </w:rPr>
      </w:pPr>
    </w:p>
    <w:p>
      <w:pPr>
        <w:jc w:val="both"/>
        <w:ind w:left="240" w:firstLine="223"/>
        <w:spacing w:after="0" w:line="298" w:lineRule="auto"/>
        <w:rPr>
          <w:sz w:val="20"/>
          <w:szCs w:val="20"/>
          <w:color w:val="auto"/>
        </w:rPr>
      </w:pPr>
      <w:r>
        <w:rPr>
          <w:rFonts w:ascii="Arial" w:cs="Arial" w:eastAsia="Arial" w:hAnsi="Arial"/>
          <w:sz w:val="16"/>
          <w:szCs w:val="16"/>
          <w:color w:val="auto"/>
        </w:rPr>
        <w:t>The Corporation’s risk management department, in performing the IPV procedures, utilizes independent sources and valuation models that are specific to the individual contracts and pricing locations to identify positions that require adjustments to better reflect the market. This review is performed quarterly and the results are presented to the chief risk officer and senior management. The IPV process considers the reliability of the pricing services through assessing the number of available quotes, the frequency at which data is available and, where appropriate, the comparability between pricing sources.</w:t>
      </w:r>
    </w:p>
    <w:p>
      <w:pPr>
        <w:spacing w:after="0" w:line="113" w:lineRule="exact"/>
        <w:rPr>
          <w:sz w:val="20"/>
          <w:szCs w:val="20"/>
          <w:color w:val="auto"/>
        </w:rPr>
      </w:pPr>
    </w:p>
    <w:p>
      <w:pPr>
        <w:jc w:val="both"/>
        <w:ind w:left="240" w:firstLine="223"/>
        <w:spacing w:after="0" w:line="298" w:lineRule="auto"/>
        <w:rPr>
          <w:sz w:val="20"/>
          <w:szCs w:val="20"/>
          <w:color w:val="auto"/>
        </w:rPr>
      </w:pPr>
      <w:r>
        <w:rPr>
          <w:rFonts w:ascii="Arial" w:cs="Arial" w:eastAsia="Arial" w:hAnsi="Arial"/>
          <w:sz w:val="16"/>
          <w:szCs w:val="16"/>
          <w:color w:val="auto"/>
        </w:rPr>
        <w:t>Following is a description of the Corporation’s activities that use derivatives as part of their operations and strategies. Derivatives include both financial instruments and forward purchase and sale contracts. Gross notional amounts of both long and short positions are presented in the volume tables beginning below. These amounts include long and short positions that offset in closed positions and have not reached contractual maturity. Gross notional amounts do not quantify risk or represent assets or liabilities of the Corporation, but are used in the calculation of cash settlements under the contracts.</w:t>
      </w:r>
    </w:p>
    <w:p>
      <w:pPr>
        <w:spacing w:after="0" w:line="113" w:lineRule="exact"/>
        <w:rPr>
          <w:sz w:val="20"/>
          <w:szCs w:val="20"/>
          <w:color w:val="auto"/>
        </w:rPr>
      </w:pPr>
    </w:p>
    <w:p>
      <w:pPr>
        <w:jc w:val="both"/>
        <w:ind w:left="240" w:firstLine="223"/>
        <w:spacing w:after="0" w:line="291" w:lineRule="auto"/>
        <w:rPr>
          <w:sz w:val="20"/>
          <w:szCs w:val="20"/>
          <w:color w:val="auto"/>
        </w:rPr>
      </w:pPr>
      <w:r>
        <w:rPr>
          <w:rFonts w:ascii="Arial" w:cs="Arial" w:eastAsia="Arial" w:hAnsi="Arial"/>
          <w:sz w:val="16"/>
          <w:szCs w:val="16"/>
          <w:b w:val="1"/>
          <w:bCs w:val="1"/>
          <w:i w:val="1"/>
          <w:iCs w:val="1"/>
          <w:color w:val="auto"/>
        </w:rPr>
        <w:t xml:space="preserve">Corporate Financial Risk Management Activities: </w:t>
      </w:r>
      <w:r>
        <w:rPr>
          <w:rFonts w:ascii="Arial" w:cs="Arial" w:eastAsia="Arial" w:hAnsi="Arial"/>
          <w:sz w:val="16"/>
          <w:szCs w:val="16"/>
          <w:color w:val="auto"/>
        </w:rPr>
        <w:t>Corporate risk management activities include transactions designed to reduce risk in the selling prices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crude oil or natural gas produced by the Corporation or to reduce exposure to foreign currency or interest rate movements. Generally, futures, swaps or option strategies may be used to fix the forward selling price of a portion of the Corporation’s crude oil or natural gas production. Forward contracts may also be used to purchase certain currencies in which the Corporation does business with the intent of reducing exposure to foreign currency fluctuations. These forward contracts comprise various currencies, primarily the British Pound and Danish Krone. Interest rate swaps may be used to convert interest payments on certain long-term debt from fixed to floating rates.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HESS CORPORATION AND CONSOLIDATED SUBSIDIARIES</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gross volumes of the Corporate risk management derivative contracts outstanding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60"/>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r>
      <w:tr>
        <w:trPr>
          <w:trHeight w:val="161"/>
        </w:trPr>
        <w:tc>
          <w:tcPr>
            <w:tcW w:w="9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4"/>
                <w:szCs w:val="14"/>
                <w:color w:val="auto"/>
              </w:rPr>
            </w:pPr>
          </w:p>
        </w:tc>
      </w:tr>
      <w:tr>
        <w:trPr>
          <w:trHeight w:val="210"/>
        </w:trPr>
        <w:tc>
          <w:tcPr>
            <w:tcW w:w="9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Commodity, primarily crude oil (millions of barrels)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Foreign exchange (millions of USD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883</w:t>
            </w:r>
          </w:p>
        </w:tc>
        <w:tc>
          <w:tcPr>
            <w:tcW w:w="3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 (millions of USD)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Denominated in U.S. dollars (USD).</w:t>
      </w:r>
    </w:p>
    <w:p>
      <w:pPr>
        <w:spacing w:after="0" w:line="15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the fourth quarter of 2013, the Corporation entered into Brent crude oil fixed-price swap contracts to hedge 25,000 barrels of oil per day (bopd) for calendar year 2014 and in the first quarter of 2014, an additional 5,000 bopd for the remainder of 2014, were hedged. These hedges are at an average price of $109.11 per barrel. In 2013, the Corporation had Brent crude oil fixed-price swap contracts to hedge 90,000 bopd of crude oil sales volumes at an average price of approximately $109.70 per barrel.</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Crude oil price hedging contracts increased E&amp;P Sales and other operating revenues by $3 million ($2 million after income taxes) for the three months ended March 31, 2014, and reduced E&amp;P Sales and other operating revenues by $18 million ($11 million after income taxes) for the three months ended March 31, 2013. At March 31, 2014, the after-tax deferred gains in Accumulated other comprehensive income (loss) related to Brent crude oil hedges were $13 million, which will be reclassified into earnings during 2014 as the hedged crude oil sales are recognized in earnings. The amount of ineffectiveness from Brent crude oil hedges that was recognized immediately in Sales and other operating revenues resulted in a loss of approximately $1 million for the three months ended March 31, 2014, and a gain of $15 million for the three months ended March 31, 2013.</w:t>
      </w:r>
    </w:p>
    <w:p>
      <w:pPr>
        <w:spacing w:after="0" w:line="12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At March 31, 2014 and December 31, 2013, the Corporation had interest rate swaps with gross notional amounts of $615 million and $865 million, respectively, which were designated as fair value hedges. Changes in the fair value of interest rate swaps and the hedged fixed-rate debt are recorded in Interest expense in the Statement of Consolidated Income. For the three months ended March 31, 2014 and 2013, the Corporation recorded an increase of approximately $1 million and a decrease of $5 million (excluding accrued interest), respectively, in the fair value of interest rate swaps and a corresponding adjustment in the carrying value of the hedged fixed-rate debt.</w:t>
      </w:r>
    </w:p>
    <w:p>
      <w:pPr>
        <w:spacing w:after="0" w:line="14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Gains or losses on foreign exchange contracts that are not designated as hedges are recognized immediately in Other, net in Revenues and non-operating income in the Statement of Consolidated Income.</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Net realized and unrealized pre-tax gains (losses) on derivative contracts used in Corporate Risk Management activities and not designated as hedges amounted to the following:</w:t>
      </w:r>
    </w:p>
    <w:p>
      <w:pPr>
        <w:spacing w:after="0" w:line="20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-7620</wp:posOffset>
            </wp:positionV>
            <wp:extent cx="12179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ind w:left="9700"/>
        <w:spacing w:after="0"/>
        <w:tabs>
          <w:tab w:leader="none" w:pos="1072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-6985</wp:posOffset>
            </wp:positionV>
            <wp:extent cx="12179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ind w:left="10000"/>
        <w:spacing w:after="0" w:line="232" w:lineRule="auto"/>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9380" w:val="left"/>
          <w:tab w:leader="none" w:pos="10080" w:val="left"/>
          <w:tab w:leader="none" w:pos="10420" w:val="left"/>
          <w:tab w:leader="none" w:pos="11060" w:val="left"/>
        </w:tabs>
        <w:rPr>
          <w:sz w:val="20"/>
          <w:szCs w:val="20"/>
          <w:color w:val="auto"/>
        </w:rPr>
      </w:pPr>
      <w:r>
        <w:rPr>
          <w:rFonts w:ascii="Arial" w:cs="Arial" w:eastAsia="Arial" w:hAnsi="Arial"/>
          <w:sz w:val="18"/>
          <w:szCs w:val="18"/>
          <w:color w:val="auto"/>
        </w:rPr>
        <w:t>Foreign exchange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1905</wp:posOffset>
            </wp:positionV>
            <wp:extent cx="121793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17930" cy="26035"/>
                    </a:xfrm>
                    <a:prstGeom prst="rect">
                      <a:avLst/>
                    </a:prstGeom>
                    <a:noFill/>
                  </pic:spPr>
                </pic:pic>
              </a:graphicData>
            </a:graphic>
          </wp:anchor>
        </w:drawing>
      </w:r>
    </w:p>
    <w:p>
      <w:pPr>
        <w:spacing w:after="0" w:line="191"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Energy Marketing Financial Risk Management Activities: </w:t>
      </w:r>
      <w:r>
        <w:rPr>
          <w:rFonts w:ascii="Arial" w:cs="Arial" w:eastAsia="Arial" w:hAnsi="Arial"/>
          <w:sz w:val="18"/>
          <w:szCs w:val="18"/>
          <w:color w:val="auto"/>
        </w:rPr>
        <w:t>In conjunction with the sale of the energy marketing business in the fourth quarter of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derivative contracts, including new transactions following the closing date, (the “delayed transfer derivative contracts”) were not transferred to Direct Energy, a North American subsidiary of Centrica plc (Centrica), as required customer or regulatory consents had not been obtained. However, the agreement entered into between Hess and Direct Energy on the closing date transferred all economic risks and rewards of the energy marketing business, including the ownership of the delayed transfer derivative contracts, to Direct Energy. At the end of the first quarter of 2014, a large majority of these contracts were transferred to Direct Energy. As of March 31, 2014, the assets and liabilities related to the delayed transfer derivative contracts that were not transferred remain on the Corporation’s Consolidated Balance Sheet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HESS CORPORATION AND CONSOLIDATED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but changes in their fair value are offset based on the terms of the agreement between Hess and Direct Energy. The Corporation therefore has no market risk related to these delayed transfer derivative contracts and only retains credit risk exposure, which has been guaranteed by Centrica. It is expected that the transfer of the remaining contracts will be substantially complete by the end of the second quarter of 2014.</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Trading Activities: </w:t>
      </w:r>
      <w:r>
        <w:rPr>
          <w:rFonts w:ascii="Arial" w:cs="Arial" w:eastAsia="Arial" w:hAnsi="Arial"/>
          <w:sz w:val="16"/>
          <w:szCs w:val="16"/>
          <w:color w:val="auto"/>
        </w:rPr>
        <w:t>Trading activities are conducted through a trading partnership in which the Corporation has a 50% voting interest that is currently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 This partnership intends to generate earnings through various strategies primarily using energy-related commodities, securities and derivatives. The information that follows represents 100% of the trading partnership as well as the Corporation’s proprietary trading accounts for 2013.</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gross volumes of derivative contracts outstanding related to trading activities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58"/>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4"/>
                <w:szCs w:val="14"/>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9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4"/>
                <w:szCs w:val="14"/>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Commodity</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440" w:type="dxa"/>
            <w:vAlign w:val="bottom"/>
          </w:tcPr>
          <w:p>
            <w:pPr>
              <w:ind w:left="220"/>
              <w:spacing w:after="0"/>
              <w:rPr>
                <w:sz w:val="20"/>
                <w:szCs w:val="20"/>
                <w:color w:val="auto"/>
              </w:rPr>
            </w:pPr>
            <w:r>
              <w:rPr>
                <w:rFonts w:ascii="Arial" w:cs="Arial" w:eastAsia="Arial" w:hAnsi="Arial"/>
                <w:sz w:val="18"/>
                <w:szCs w:val="18"/>
                <w:color w:val="auto"/>
              </w:rPr>
              <w:t>Crude oil and refined petroleum products (millions of barrels)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1,815</w:t>
            </w:r>
          </w:p>
        </w:tc>
      </w:tr>
      <w:tr>
        <w:trPr>
          <w:trHeight w:val="216"/>
        </w:trPr>
        <w:tc>
          <w:tcPr>
            <w:tcW w:w="9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Natural gas (millions of mcf)</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2,735</w:t>
            </w:r>
          </w:p>
        </w:tc>
      </w:tr>
      <w:tr>
        <w:trPr>
          <w:trHeight w:val="216"/>
        </w:trPr>
        <w:tc>
          <w:tcPr>
            <w:tcW w:w="9440" w:type="dxa"/>
            <w:vAlign w:val="bottom"/>
          </w:tcPr>
          <w:p>
            <w:pPr>
              <w:ind w:left="220"/>
              <w:spacing w:after="0"/>
              <w:rPr>
                <w:sz w:val="20"/>
                <w:szCs w:val="20"/>
                <w:color w:val="auto"/>
              </w:rPr>
            </w:pPr>
            <w:r>
              <w:rPr>
                <w:rFonts w:ascii="Arial" w:cs="Arial" w:eastAsia="Arial" w:hAnsi="Arial"/>
                <w:sz w:val="18"/>
                <w:szCs w:val="18"/>
                <w:color w:val="auto"/>
              </w:rPr>
              <w:t>Electricity (millions of megawatt hours)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(millions of USD)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22"/>
        </w:trPr>
        <w:tc>
          <w:tcPr>
            <w:tcW w:w="9440" w:type="dxa"/>
            <w:vAlign w:val="bottom"/>
          </w:tcPr>
          <w:p>
            <w:pPr>
              <w:spacing w:after="0"/>
              <w:rPr>
                <w:sz w:val="20"/>
                <w:szCs w:val="20"/>
                <w:color w:val="auto"/>
              </w:rPr>
            </w:pPr>
            <w:r>
              <w:rPr>
                <w:rFonts w:ascii="Arial" w:cs="Arial" w:eastAsia="Arial" w:hAnsi="Arial"/>
                <w:sz w:val="18"/>
                <w:szCs w:val="18"/>
                <w:color w:val="auto"/>
              </w:rPr>
              <w:t>Equity securities (millions of shares)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Pre-tax unrealized and realized gains (losses) recorded in the Statement of Consolidated Income from trading activities amounted to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680" w:type="dxa"/>
            <w:vAlign w:val="bottom"/>
            <w:gridSpan w:val="4"/>
          </w:tcPr>
          <w:p>
            <w:pPr>
              <w:jc w:val="center"/>
              <w:ind w:left="148"/>
              <w:spacing w:after="0"/>
              <w:rPr>
                <w:sz w:val="20"/>
                <w:szCs w:val="20"/>
                <w:color w:val="auto"/>
              </w:rPr>
            </w:pPr>
            <w:r>
              <w:rPr>
                <w:rFonts w:ascii="Arial" w:cs="Arial" w:eastAsia="Arial" w:hAnsi="Arial"/>
                <w:sz w:val="14"/>
                <w:szCs w:val="14"/>
                <w:b w:val="1"/>
                <w:bCs w:val="1"/>
                <w:color w:val="auto"/>
                <w:w w:val="88"/>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40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9"/>
              </w:rPr>
              <w:t>March 31,</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40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40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w:t>
            </w: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16"/>
        </w:trPr>
        <w:tc>
          <w:tcPr>
            <w:tcW w:w="9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w:t>
            </w: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8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24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40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The unrealized pre-tax gains and losses included in earnings were reflected in Sales and other operating revenues and Income from discontinued operations in the Statement of Consolidated Income.</w:t>
      </w:r>
    </w:p>
    <w:p>
      <w:pPr>
        <w:spacing w:after="0" w:line="175"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Fair Value Measurements: </w:t>
      </w:r>
      <w:r>
        <w:rPr>
          <w:rFonts w:ascii="Arial" w:cs="Arial" w:eastAsia="Arial" w:hAnsi="Arial"/>
          <w:sz w:val="18"/>
          <w:szCs w:val="18"/>
          <w:color w:val="auto"/>
        </w:rPr>
        <w:t>The Corporation generally enters into master netting arrangements to mitigate legal and counterparty credit risk. Master netting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are generally accepted overarching master contracts that govern all individual transactions with the same counterparty entity as a single legally enforceable agreement. The U.S. Bankruptcy Code provides for the enforcement of certain termination and netting rights under certain types of contracts upon the bankruptcy filing of a counterparty, commonly known as the safe harbor provisions. If a master netting arrangement provides for termination and netting upon the counterparty’s bankruptcy, these rights are generally enforceable with respect to safe harbor transactions. If these arrangements provide the right of offset and the Corporation’s intent and practice is to offset amounts in the case of such a termination, the Corporation’s policy is to record the fair value of derivative assets and liabilities on a net basis.</w:t>
      </w:r>
    </w:p>
    <w:p>
      <w:pPr>
        <w:spacing w:after="0" w:line="14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the normal course of business, the Corporation relies on legal and credit risk mitigation clauses providing for adequate credit assurance as well as close-out netting, including two-party netting and single counterparty multilateral netting. As applied to the Corporation, two-party netting is the right to net amounts owing under safe harbor transactions between a single defaulting counterparty entity and a single Hess entity, and single counterparty multilateral netting is the right to net amounts owing under safe harbor transactions among a single defaulting counterparty entity and multiple Hess entities. The Corporation is reasonably assured that these netting rights would be upheld in a bankruptcy proceeding in the U.S. in which the defaulting counterparty is a debtor under the U.S. Bankruptcy Code.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HESS CORPORATION AND CONSOLIDATED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5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 provides information about the effect of netting arrangements on the presentation of the Corporation’s physical and financial derivative assets and (liabilities) that are measured at fair value, with the effect of “single counterparty multilateral netting” being included in column (v):</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4"/>
              </w:rPr>
              <w:t>Gross Amounts Offset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in the Consolidated</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Balance Sheet</w:t>
            </w: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7"/>
              </w:rPr>
              <w:t>Net Amounts</w:t>
            </w:r>
          </w:p>
        </w:tc>
        <w:tc>
          <w:tcPr>
            <w:tcW w:w="80" w:type="dxa"/>
            <w:vAlign w:val="bottom"/>
          </w:tcPr>
          <w:p>
            <w:pPr>
              <w:spacing w:after="0"/>
              <w:rPr>
                <w:sz w:val="14"/>
                <w:szCs w:val="14"/>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Gross Amounts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4"/>
              </w:rPr>
              <w:t>Physical</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Derivative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Presented in</w:t>
            </w:r>
          </w:p>
        </w:tc>
        <w:tc>
          <w:tcPr>
            <w:tcW w:w="8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Not Offset 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the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the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Financial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Cash</w:t>
            </w: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8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Amounts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Instruments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Collateral*</w:t>
            </w: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3"/>
              </w:rPr>
              <w:t>Balance Sheet</w:t>
            </w:r>
          </w:p>
        </w:tc>
        <w:tc>
          <w:tcPr>
            <w:tcW w:w="8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3"/>
              </w:rPr>
              <w:t>Balance Sheet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Amounts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35"/>
              <w:spacing w:after="0" w:line="129" w:lineRule="exact"/>
              <w:rPr>
                <w:sz w:val="20"/>
                <w:szCs w:val="20"/>
                <w:color w:val="auto"/>
              </w:rPr>
            </w:pPr>
            <w:r>
              <w:rPr>
                <w:rFonts w:ascii="Arial" w:cs="Arial" w:eastAsia="Arial" w:hAnsi="Arial"/>
                <w:sz w:val="14"/>
                <w:szCs w:val="14"/>
                <w:b w:val="1"/>
                <w:bCs w:val="1"/>
                <w:color w:val="auto"/>
              </w:rPr>
              <w:t>(i)</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(ii)</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16"/>
              <w:spacing w:after="0" w:line="129" w:lineRule="exact"/>
              <w:rPr>
                <w:sz w:val="20"/>
                <w:szCs w:val="20"/>
                <w:color w:val="auto"/>
              </w:rPr>
            </w:pPr>
            <w:r>
              <w:rPr>
                <w:rFonts w:ascii="Arial" w:cs="Arial" w:eastAsia="Arial" w:hAnsi="Arial"/>
                <w:sz w:val="14"/>
                <w:szCs w:val="14"/>
                <w:b w:val="1"/>
                <w:bCs w:val="1"/>
                <w:color w:val="auto"/>
                <w:w w:val="95"/>
              </w:rPr>
              <w:t>(iii)</w:t>
            </w:r>
          </w:p>
        </w:tc>
        <w:tc>
          <w:tcPr>
            <w:tcW w:w="200" w:type="dxa"/>
            <w:vAlign w:val="bottom"/>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2"/>
              </w:rPr>
              <w:t>(iv)=(i)+(ii)+(iii)</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134"/>
              <w:spacing w:after="0" w:line="129" w:lineRule="exact"/>
              <w:rPr>
                <w:sz w:val="20"/>
                <w:szCs w:val="20"/>
                <w:color w:val="auto"/>
              </w:rPr>
            </w:pPr>
            <w:r>
              <w:rPr>
                <w:rFonts w:ascii="Arial" w:cs="Arial" w:eastAsia="Arial" w:hAnsi="Arial"/>
                <w:sz w:val="14"/>
                <w:szCs w:val="14"/>
                <w:b w:val="1"/>
                <w:bCs w:val="1"/>
                <w:color w:val="auto"/>
                <w:w w:val="93"/>
              </w:rPr>
              <w:t>(v)</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5"/>
              <w:spacing w:after="0" w:line="129" w:lineRule="exact"/>
              <w:rPr>
                <w:sz w:val="20"/>
                <w:szCs w:val="20"/>
                <w:color w:val="auto"/>
              </w:rPr>
            </w:pPr>
            <w:r>
              <w:rPr>
                <w:rFonts w:ascii="Arial" w:cs="Arial" w:eastAsia="Arial" w:hAnsi="Arial"/>
                <w:sz w:val="14"/>
                <w:szCs w:val="14"/>
                <w:b w:val="1"/>
                <w:bCs w:val="1"/>
                <w:color w:val="auto"/>
                <w:w w:val="92"/>
              </w:rPr>
              <w:t>(vi)=(iv)+(v)</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March 31, 2014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Derivative contracts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Commodity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2,068</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(1,655)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and other</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Counterparty netting</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derivative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0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Derivative contracts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Commodity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(2,148)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1,655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(474)</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Counterparty netting</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derivative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2013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0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Derivative contracts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Commodity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1,140</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Interest rate and other</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Counterparty netting</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gridSpan w:val="2"/>
            <w:vMerge w:val="restart"/>
          </w:tcPr>
          <w:p>
            <w:pPr>
              <w:ind w:left="640"/>
              <w:spacing w:after="0"/>
              <w:rPr>
                <w:sz w:val="20"/>
                <w:szCs w:val="20"/>
                <w:color w:val="auto"/>
              </w:rPr>
            </w:pPr>
            <w:r>
              <w:rPr>
                <w:rFonts w:ascii="Arial" w:cs="Arial" w:eastAsia="Arial" w:hAnsi="Arial"/>
                <w:sz w:val="18"/>
                <w:szCs w:val="18"/>
                <w:color w:val="auto"/>
              </w:rPr>
              <w:t>Total derivative contracts</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3,137</w:t>
            </w:r>
          </w:p>
        </w:tc>
        <w:tc>
          <w:tcPr>
            <w:tcW w:w="1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(2,083)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975</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38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Derivative contracts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Commodity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(1,177)</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Counterparty netting</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gridSpan w:val="2"/>
            <w:vMerge w:val="restart"/>
          </w:tcPr>
          <w:p>
            <w:pPr>
              <w:ind w:left="640"/>
              <w:spacing w:after="0"/>
              <w:rPr>
                <w:sz w:val="20"/>
                <w:szCs w:val="20"/>
                <w:color w:val="auto"/>
              </w:rPr>
            </w:pPr>
            <w:r>
              <w:rPr>
                <w:rFonts w:ascii="Arial" w:cs="Arial" w:eastAsia="Arial" w:hAnsi="Arial"/>
                <w:sz w:val="18"/>
                <w:szCs w:val="18"/>
                <w:color w:val="auto"/>
              </w:rPr>
              <w:t>Total derivative contracts</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(3,224)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2,083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(973)</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There is no cash collateral that was not offset in the Consolidated Balance Sheet.</w:t>
      </w:r>
    </w:p>
    <w:p>
      <w:pPr>
        <w:spacing w:after="0" w:line="15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net assets and liabilities that were offset in the Consolidated Balance Sheet as reflected in column (iv) of the table above were included in Accounts receivable – Trade and Accounts payable, respectively. Included in those net amounts were the assets and liabilities related to the Corporation’s discontinued operations of $72 million and $93 million as of March 31, 2014, respectively ($612 million and $620 million as of December 31, 2013).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HESS CORPORATION AND CONSOLIDATED SUBSIDIARIES</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reflects the gross and net fair values of the corporate and energy marketing risk management and trading derivative instruments: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Accounts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Accounts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Receivable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Payable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5"/>
          </w:tcPr>
          <w:p>
            <w:pPr>
              <w:jc w:val="right"/>
              <w:ind w:right="554"/>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March 31, 2014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200"/>
              <w:spacing w:after="0"/>
              <w:rPr>
                <w:sz w:val="20"/>
                <w:szCs w:val="20"/>
                <w:color w:val="auto"/>
              </w:rPr>
            </w:pPr>
            <w:r>
              <w:rPr>
                <w:rFonts w:ascii="Arial" w:cs="Arial" w:eastAsia="Arial" w:hAnsi="Arial"/>
                <w:sz w:val="18"/>
                <w:szCs w:val="18"/>
                <w:color w:val="auto"/>
              </w:rPr>
              <w:t>Derivative contracts designated as hedging instruments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Commodity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Interest rate and other</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derivative contracts designated as hedging instruments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320" w:type="dxa"/>
            <w:vAlign w:val="bottom"/>
            <w:gridSpan w:val="2"/>
          </w:tcPr>
          <w:p>
            <w:pPr>
              <w:ind w:left="200"/>
              <w:spacing w:after="0"/>
              <w:rPr>
                <w:sz w:val="20"/>
                <w:szCs w:val="20"/>
                <w:color w:val="auto"/>
              </w:rPr>
            </w:pPr>
            <w:r>
              <w:rPr>
                <w:rFonts w:ascii="Arial" w:cs="Arial" w:eastAsia="Arial" w:hAnsi="Arial"/>
                <w:sz w:val="18"/>
                <w:szCs w:val="18"/>
                <w:color w:val="auto"/>
              </w:rPr>
              <w:t>Derivative contracts not designated as hedging instruments*</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Commodity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Foreign exchange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and other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gridSpan w:val="2"/>
            <w:vMerge w:val="restart"/>
          </w:tcPr>
          <w:p>
            <w:pPr>
              <w:ind w:left="640"/>
              <w:spacing w:after="0"/>
              <w:rPr>
                <w:sz w:val="20"/>
                <w:szCs w:val="20"/>
                <w:color w:val="auto"/>
              </w:rPr>
            </w:pPr>
            <w:r>
              <w:rPr>
                <w:rFonts w:ascii="Arial" w:cs="Arial" w:eastAsia="Arial" w:hAnsi="Arial"/>
                <w:sz w:val="18"/>
                <w:szCs w:val="18"/>
                <w:color w:val="auto"/>
              </w:rPr>
              <w:t>Total derivative contracts not designated as hedging instruments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fair value of derivative contracts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200"/>
              <w:spacing w:after="0"/>
              <w:rPr>
                <w:sz w:val="20"/>
                <w:szCs w:val="20"/>
                <w:color w:val="auto"/>
              </w:rPr>
            </w:pPr>
            <w:r>
              <w:rPr>
                <w:rFonts w:ascii="Arial" w:cs="Arial" w:eastAsia="Arial" w:hAnsi="Arial"/>
                <w:sz w:val="18"/>
                <w:szCs w:val="18"/>
                <w:color w:val="auto"/>
              </w:rPr>
              <w:t>Master netting arrangements</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collateral (received) posted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gridSpan w:val="2"/>
            <w:vMerge w:val="restart"/>
          </w:tcPr>
          <w:p>
            <w:pPr>
              <w:ind w:left="420"/>
              <w:spacing w:after="0"/>
              <w:rPr>
                <w:sz w:val="20"/>
                <w:szCs w:val="20"/>
                <w:color w:val="auto"/>
              </w:rPr>
            </w:pPr>
            <w:r>
              <w:rPr>
                <w:rFonts w:ascii="Arial" w:cs="Arial" w:eastAsia="Arial" w:hAnsi="Arial"/>
                <w:sz w:val="18"/>
                <w:szCs w:val="18"/>
                <w:color w:val="auto"/>
              </w:rPr>
              <w:t>Net fair value of derivative contracts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38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200"/>
              <w:spacing w:after="0"/>
              <w:rPr>
                <w:sz w:val="20"/>
                <w:szCs w:val="20"/>
                <w:color w:val="auto"/>
              </w:rPr>
            </w:pPr>
            <w:r>
              <w:rPr>
                <w:rFonts w:ascii="Arial" w:cs="Arial" w:eastAsia="Arial" w:hAnsi="Arial"/>
                <w:sz w:val="18"/>
                <w:szCs w:val="18"/>
                <w:color w:val="auto"/>
              </w:rPr>
              <w:t>Derivative contracts designated as hedging instruments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Commodity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Interest rate and other</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derivative contracts designated as hedging instruments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320" w:type="dxa"/>
            <w:vAlign w:val="bottom"/>
            <w:gridSpan w:val="2"/>
          </w:tcPr>
          <w:p>
            <w:pPr>
              <w:ind w:left="200"/>
              <w:spacing w:after="0"/>
              <w:rPr>
                <w:sz w:val="20"/>
                <w:szCs w:val="20"/>
                <w:color w:val="auto"/>
              </w:rPr>
            </w:pPr>
            <w:r>
              <w:rPr>
                <w:rFonts w:ascii="Arial" w:cs="Arial" w:eastAsia="Arial" w:hAnsi="Arial"/>
                <w:sz w:val="18"/>
                <w:szCs w:val="18"/>
                <w:color w:val="auto"/>
              </w:rPr>
              <w:t>Derivative contracts not designated as hedging instruments*</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Commodity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Foreign exchange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gridSpan w:val="2"/>
            <w:vMerge w:val="restart"/>
          </w:tcPr>
          <w:p>
            <w:pPr>
              <w:ind w:left="640"/>
              <w:spacing w:after="0"/>
              <w:rPr>
                <w:sz w:val="20"/>
                <w:szCs w:val="20"/>
                <w:color w:val="auto"/>
              </w:rPr>
            </w:pPr>
            <w:r>
              <w:rPr>
                <w:rFonts w:ascii="Arial" w:cs="Arial" w:eastAsia="Arial" w:hAnsi="Arial"/>
                <w:sz w:val="18"/>
                <w:szCs w:val="18"/>
                <w:color w:val="auto"/>
              </w:rPr>
              <w:t>Total derivative contracts not designated as hedging instruments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fair value of derivative contracts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200"/>
              <w:spacing w:after="0"/>
              <w:rPr>
                <w:sz w:val="20"/>
                <w:szCs w:val="20"/>
                <w:color w:val="auto"/>
              </w:rPr>
            </w:pPr>
            <w:r>
              <w:rPr>
                <w:rFonts w:ascii="Arial" w:cs="Arial" w:eastAsia="Arial" w:hAnsi="Arial"/>
                <w:sz w:val="18"/>
                <w:szCs w:val="18"/>
                <w:color w:val="auto"/>
              </w:rPr>
              <w:t>Master netting arrangements</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collateral (received) posted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gridSpan w:val="2"/>
            <w:vMerge w:val="restart"/>
          </w:tcPr>
          <w:p>
            <w:pPr>
              <w:ind w:left="420"/>
              <w:spacing w:after="0"/>
              <w:rPr>
                <w:sz w:val="20"/>
                <w:szCs w:val="20"/>
                <w:color w:val="auto"/>
              </w:rPr>
            </w:pPr>
            <w:r>
              <w:rPr>
                <w:rFonts w:ascii="Arial" w:cs="Arial" w:eastAsia="Arial" w:hAnsi="Arial"/>
                <w:sz w:val="18"/>
                <w:szCs w:val="18"/>
                <w:color w:val="auto"/>
              </w:rPr>
              <w:t>Net fair value of derivative contracts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975</w:t>
            </w:r>
          </w:p>
        </w:tc>
        <w:tc>
          <w:tcPr>
            <w:tcW w:w="14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Includes trading derivatives and derivatives used for risk management.</w:t>
      </w:r>
    </w:p>
    <w:p>
      <w:pPr>
        <w:spacing w:after="0" w:line="15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Corporation determines fair value in accordance with the fair value measurements accounting standard (Accounting Standards Codification 820 – Fair Value Measurements and Disclosures), which established a hierarchy that categorizes the sources of inputs, which generally range from quoted prices for identical instruments in a principal trading market (Level 1) to estimates determined using related market data (Level 3). Measurements derived indirectly from observable inputs or from quoted prices from markets that are less liquid are considered Level 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HESS CORPORATION AND CONSOLIDATED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5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When Level 1 inputs are available within a particular market, those inputs are selected for determination of fair value over Level 2 or 3 inputs in the same market. To value derivatives that are characterized as Level 2 and 3, the Corporation uses observable inputs for similar instruments that are available from exchanges, pricing services or broker quotes. These observable inputs may be supplemented with other methods, including internal extrapolation or interpolation, that result in the most representative prices for instruments with similar characteristics. Multiple inputs may be used to measure fair value, however, the level of fair value for each physical derivative and financial asset or liability presented below is based on the lowest significant input level within this fair value hierarchy.</w:t>
      </w:r>
    </w:p>
    <w:p>
      <w:pPr>
        <w:spacing w:after="0" w:line="11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table provides the Corporation’s net physical derivative and financial assets and (liabilities) that are measured at fair value based on this hierarchy: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Counterparty</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Level 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Level 3</w:t>
            </w: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netting</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Collateral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right"/>
              <w:ind w:right="312"/>
              <w:spacing w:after="0" w:line="142" w:lineRule="exact"/>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 contracts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Commodity</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70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and other</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Collateral and counterparty netting</w:t>
            </w:r>
          </w:p>
        </w:tc>
        <w:tc>
          <w:tcPr>
            <w:tcW w:w="16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derivative contracts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Other assets measured at fair value on a recurring basis</w:t>
            </w:r>
          </w:p>
        </w:tc>
        <w:tc>
          <w:tcPr>
            <w:tcW w:w="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on a recurring basis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70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383(a)</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9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 contracts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Commodity</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(422)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70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Collateral and counterparty netting</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derivative contracts</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Other liabilities measured at fair value on a recurring basis</w:t>
            </w:r>
          </w:p>
        </w:tc>
        <w:tc>
          <w:tcPr>
            <w:tcW w:w="16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on a recurring basis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70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(513)(b)</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Other fair value measurement disclosures Long-term debt (c)</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gridSpan w:val="2"/>
            <w:vMerge w:val="continue"/>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(6,734)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HESS CORPORATION AND CONSOLIDATED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Counterparty</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Level 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Level 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netting</w:t>
            </w:r>
          </w:p>
        </w:tc>
        <w:tc>
          <w:tcPr>
            <w:tcW w:w="12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Collateral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6"/>
          </w:tcPr>
          <w:p>
            <w:pPr>
              <w:jc w:val="right"/>
              <w:ind w:right="800"/>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Derivative contracts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Commodity</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579</w:t>
            </w:r>
          </w:p>
        </w:tc>
        <w:tc>
          <w:tcPr>
            <w:tcW w:w="2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494</w:t>
            </w:r>
          </w:p>
        </w:tc>
        <w:tc>
          <w:tcPr>
            <w:tcW w:w="2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and other</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Collateral and counterparty netting</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derivative contracts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200"/>
              <w:spacing w:after="0"/>
              <w:rPr>
                <w:sz w:val="20"/>
                <w:szCs w:val="20"/>
                <w:color w:val="auto"/>
              </w:rPr>
            </w:pPr>
            <w:r>
              <w:rPr>
                <w:rFonts w:ascii="Arial" w:cs="Arial" w:eastAsia="Arial" w:hAnsi="Arial"/>
                <w:sz w:val="18"/>
                <w:szCs w:val="18"/>
                <w:color w:val="auto"/>
              </w:rPr>
              <w:t>Other assets measured at fair value on a recurring basis</w:t>
            </w:r>
          </w:p>
        </w:tc>
        <w:tc>
          <w:tcPr>
            <w:tcW w:w="1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on a recurring basis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1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Derivative contracts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Commodity</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(1,071)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c>
          <w:tcPr>
            <w:tcW w:w="2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Collateral and counterparty netting</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derivative contracts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200"/>
              <w:spacing w:after="0"/>
              <w:rPr>
                <w:sz w:val="20"/>
                <w:szCs w:val="20"/>
                <w:color w:val="auto"/>
              </w:rPr>
            </w:pPr>
            <w:r>
              <w:rPr>
                <w:rFonts w:ascii="Arial" w:cs="Arial" w:eastAsia="Arial" w:hAnsi="Arial"/>
                <w:sz w:val="18"/>
                <w:szCs w:val="18"/>
                <w:color w:val="auto"/>
              </w:rPr>
              <w:t>Other liabilities measured at fair value on a recurring basis</w:t>
            </w: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on a recurring basis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color w:val="auto"/>
              </w:rPr>
              <w:t>Other fair value measurement disclosures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1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200"/>
              <w:spacing w:after="0"/>
              <w:rPr>
                <w:sz w:val="20"/>
                <w:szCs w:val="20"/>
                <w:color w:val="auto"/>
              </w:rPr>
            </w:pPr>
            <w:r>
              <w:rPr>
                <w:rFonts w:ascii="Arial" w:cs="Arial" w:eastAsia="Arial" w:hAnsi="Arial"/>
                <w:sz w:val="18"/>
                <w:szCs w:val="18"/>
                <w:color w:val="auto"/>
              </w:rPr>
              <w:t>Long-term debt (c)</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(6,641)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 total of $134 million of Level 1, $177 million of Level 2 and $51 million of Level 3 assets that relate to the Corporation’s continuing operations.</w:t>
      </w:r>
    </w:p>
    <w:p>
      <w:pPr>
        <w:ind w:left="340" w:hanging="332"/>
        <w:spacing w:after="0" w:line="221" w:lineRule="auto"/>
        <w:tabs>
          <w:tab w:leader="none" w:pos="3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 total of $61 million of Level 1, $323 million of Level 2 and $17 million of Level 3 liabilities that relate to the Corporation’s continuing operations.</w:t>
      </w:r>
    </w:p>
    <w:p>
      <w:pPr>
        <w:ind w:left="340" w:hanging="332"/>
        <w:spacing w:after="0"/>
        <w:tabs>
          <w:tab w:leader="none" w:pos="3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Long-term debt, including current maturities, had a carrying value of $5,576 million and $5,798 million at March 31, 2014 and December 31, 2013, respectively.</w:t>
      </w:r>
    </w:p>
    <w:p>
      <w:pPr>
        <w:spacing w:after="0" w:line="140" w:lineRule="exact"/>
        <w:rPr>
          <w:sz w:val="20"/>
          <w:szCs w:val="20"/>
          <w:color w:val="auto"/>
        </w:rPr>
      </w:pPr>
    </w:p>
    <w:p>
      <w:pPr>
        <w:ind w:left="240" w:firstLine="223"/>
        <w:spacing w:after="0" w:line="332" w:lineRule="auto"/>
        <w:rPr>
          <w:sz w:val="20"/>
          <w:szCs w:val="20"/>
          <w:color w:val="auto"/>
        </w:rPr>
      </w:pPr>
      <w:r>
        <w:rPr>
          <w:rFonts w:ascii="Arial" w:cs="Arial" w:eastAsia="Arial" w:hAnsi="Arial"/>
          <w:sz w:val="16"/>
          <w:szCs w:val="16"/>
          <w:color w:val="auto"/>
        </w:rPr>
        <w:t>In addition to the financial assets and liabilities disclosed in the tables above, the Corporation had other short-term financial instruments, primarily cash equivalents and accounts receivable and payable, for which the carrying value approximated their fair value at March 31, 2014 and December 31, 2013.</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HESS CORPORATION AND CONSOLIDATED SUBSIDIARIES</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total net transfers into and out of each level of the fair value hierarchy: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740" w:type="dxa"/>
            <w:vAlign w:val="bottom"/>
            <w:gridSpan w:val="5"/>
          </w:tcPr>
          <w:p>
            <w:pPr>
              <w:jc w:val="center"/>
              <w:ind w:left="166"/>
              <w:spacing w:after="0"/>
              <w:rPr>
                <w:sz w:val="20"/>
                <w:szCs w:val="20"/>
                <w:color w:val="auto"/>
              </w:rPr>
            </w:pPr>
            <w:r>
              <w:rPr>
                <w:rFonts w:ascii="Arial" w:cs="Arial" w:eastAsia="Arial" w:hAnsi="Arial"/>
                <w:sz w:val="14"/>
                <w:szCs w:val="14"/>
                <w:b w:val="1"/>
                <w:bCs w:val="1"/>
                <w:color w:val="auto"/>
                <w:w w:val="88"/>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89"/>
              </w:rPr>
              <w:t>March 31,</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gridSpan w:val="4"/>
          </w:tcPr>
          <w:p>
            <w:pPr>
              <w:jc w:val="center"/>
              <w:ind w:right="36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1</w:t>
            </w:r>
          </w:p>
        </w:tc>
        <w:tc>
          <w:tcPr>
            <w:tcW w:w="60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(10)</w:t>
            </w:r>
          </w:p>
        </w:tc>
        <w:tc>
          <w:tcPr>
            <w:tcW w:w="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Transfers out of Level 1</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(10)</w:t>
            </w:r>
          </w:p>
        </w:tc>
        <w:tc>
          <w:tcPr>
            <w:tcW w:w="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3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340" w:type="dxa"/>
            <w:vAlign w:val="bottom"/>
            <w:gridSpan w:val="2"/>
          </w:tcPr>
          <w:p>
            <w:pPr>
              <w:spacing w:after="0"/>
              <w:rPr>
                <w:sz w:val="20"/>
                <w:szCs w:val="20"/>
                <w:color w:val="auto"/>
              </w:rPr>
            </w:pPr>
            <w:r>
              <w:rPr>
                <w:rFonts w:ascii="Arial" w:cs="Arial" w:eastAsia="Arial" w:hAnsi="Arial"/>
                <w:sz w:val="18"/>
                <w:szCs w:val="18"/>
                <w:color w:val="auto"/>
              </w:rPr>
              <w:t>Transfers into Level 2</w:t>
            </w: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(18)</w:t>
            </w:r>
          </w:p>
        </w:tc>
        <w:tc>
          <w:tcPr>
            <w:tcW w:w="7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2</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spacing w:after="0"/>
              <w:rPr>
                <w:sz w:val="19"/>
                <w:szCs w:val="19"/>
                <w:color w:val="auto"/>
              </w:rPr>
            </w:pP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(13)</w:t>
            </w:r>
          </w:p>
        </w:tc>
        <w:tc>
          <w:tcPr>
            <w:tcW w:w="7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60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Transfers out of Level 3</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40" w:firstLine="223"/>
        <w:spacing w:after="0" w:line="259" w:lineRule="auto"/>
        <w:rPr>
          <w:sz w:val="20"/>
          <w:szCs w:val="20"/>
          <w:color w:val="auto"/>
        </w:rPr>
      </w:pPr>
      <w:r>
        <w:rPr>
          <w:rFonts w:ascii="Arial" w:cs="Arial" w:eastAsia="Arial" w:hAnsi="Arial"/>
          <w:sz w:val="18"/>
          <w:szCs w:val="18"/>
          <w:color w:val="auto"/>
        </w:rPr>
        <w:t>The Corporation’s policy is to recognize transfers in and transfers out as of the end of the reporting period. Transfers between levels result from the passage of time as contracts move closer to their maturities, fluctuations in the market liquidity for certain contracts and/or changes in the level of significance of fair value measurement inputs.</w:t>
      </w:r>
    </w:p>
    <w:p>
      <w:pPr>
        <w:spacing w:after="0" w:line="140" w:lineRule="exact"/>
        <w:rPr>
          <w:sz w:val="20"/>
          <w:szCs w:val="20"/>
          <w:color w:val="auto"/>
        </w:rPr>
      </w:pPr>
    </w:p>
    <w:p>
      <w:pPr>
        <w:jc w:val="both"/>
        <w:ind w:left="240" w:firstLine="223"/>
        <w:spacing w:after="0" w:line="268" w:lineRule="auto"/>
        <w:rPr>
          <w:sz w:val="20"/>
          <w:szCs w:val="20"/>
          <w:color w:val="auto"/>
        </w:rPr>
      </w:pPr>
      <w:r>
        <w:rPr>
          <w:rFonts w:ascii="Arial" w:cs="Arial" w:eastAsia="Arial" w:hAnsi="Arial"/>
          <w:sz w:val="18"/>
          <w:szCs w:val="18"/>
          <w:color w:val="auto"/>
        </w:rPr>
        <w:t>The following table provides changes in physical derivatives and financial assets and (liabilities) primarily related to commodities that are measured at fair value based on Level 3 inputs: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40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left="339"/>
              <w:spacing w:after="0"/>
              <w:rPr>
                <w:sz w:val="20"/>
                <w:szCs w:val="20"/>
                <w:color w:val="auto"/>
              </w:rPr>
            </w:pPr>
            <w:r>
              <w:rPr>
                <w:rFonts w:ascii="Arial" w:cs="Arial" w:eastAsia="Arial" w:hAnsi="Arial"/>
                <w:sz w:val="14"/>
                <w:szCs w:val="14"/>
                <w:b w:val="1"/>
                <w:bCs w:val="1"/>
                <w:color w:val="auto"/>
                <w:w w:val="89"/>
              </w:rPr>
              <w:t>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40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r>
      <w:tr>
        <w:trPr>
          <w:trHeight w:val="142"/>
        </w:trPr>
        <w:tc>
          <w:tcPr>
            <w:tcW w:w="240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4"/>
          </w:tcPr>
          <w:p>
            <w:pPr>
              <w:jc w:val="center"/>
              <w:ind w:left="339"/>
              <w:spacing w:after="0" w:line="142" w:lineRule="exact"/>
              <w:rPr>
                <w:sz w:val="20"/>
                <w:szCs w:val="20"/>
                <w:color w:val="auto"/>
              </w:rPr>
            </w:pPr>
            <w:r>
              <w:rPr>
                <w:rFonts w:ascii="Arial" w:cs="Arial" w:eastAsia="Arial" w:hAnsi="Arial"/>
                <w:sz w:val="14"/>
                <w:szCs w:val="14"/>
                <w:b w:val="1"/>
                <w:bCs w:val="1"/>
                <w:color w:val="auto"/>
                <w:w w:val="89"/>
              </w:rPr>
              <w:t>(In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16"/>
        </w:trPr>
        <w:tc>
          <w:tcPr>
            <w:tcW w:w="9340" w:type="dxa"/>
            <w:vAlign w:val="bottom"/>
            <w:gridSpan w:val="2"/>
          </w:tcPr>
          <w:p>
            <w:pPr>
              <w:ind w:left="220"/>
              <w:spacing w:after="0"/>
              <w:rPr>
                <w:sz w:val="20"/>
                <w:szCs w:val="20"/>
                <w:color w:val="auto"/>
              </w:rPr>
            </w:pPr>
            <w:r>
              <w:rPr>
                <w:rFonts w:ascii="Arial" w:cs="Arial" w:eastAsia="Arial" w:hAnsi="Arial"/>
                <w:sz w:val="18"/>
                <w:szCs w:val="18"/>
                <w:color w:val="auto"/>
              </w:rPr>
              <w:t>Unrealized pre-tax gains (losses) included in earnings (a)</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9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Purchases (b)</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9340" w:type="dxa"/>
            <w:vAlign w:val="bottom"/>
            <w:gridSpan w:val="2"/>
          </w:tcPr>
          <w:p>
            <w:pPr>
              <w:ind w:left="220"/>
              <w:spacing w:after="0"/>
              <w:rPr>
                <w:sz w:val="20"/>
                <w:szCs w:val="20"/>
                <w:color w:val="auto"/>
              </w:rPr>
            </w:pPr>
            <w:r>
              <w:rPr>
                <w:rFonts w:ascii="Arial" w:cs="Arial" w:eastAsia="Arial" w:hAnsi="Arial"/>
                <w:sz w:val="18"/>
                <w:szCs w:val="18"/>
                <w:color w:val="auto"/>
              </w:rPr>
              <w:t>Sales (b)</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9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Settlements (c)</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9340" w:type="dxa"/>
            <w:vAlign w:val="bottom"/>
            <w:gridSpan w:val="2"/>
          </w:tcPr>
          <w:p>
            <w:pPr>
              <w:ind w:left="220"/>
              <w:spacing w:after="0"/>
              <w:rPr>
                <w:sz w:val="20"/>
                <w:szCs w:val="20"/>
                <w:color w:val="auto"/>
              </w:rPr>
            </w:pPr>
            <w:r>
              <w:rPr>
                <w:rFonts w:ascii="Arial" w:cs="Arial" w:eastAsia="Arial" w:hAnsi="Arial"/>
                <w:sz w:val="18"/>
                <w:szCs w:val="18"/>
                <w:color w:val="auto"/>
              </w:rPr>
              <w:t>Transfers into Level 3</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9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Transfers out of Level 3</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color w:val="auto"/>
              </w:rPr>
              <w:t>Balance at March 31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0"/>
        </w:trPr>
        <w:tc>
          <w:tcPr>
            <w:tcW w:w="24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400" w:type="dxa"/>
            <w:vAlign w:val="bottom"/>
            <w:tcBorders>
              <w:bottom w:val="single" w:sz="8" w:color="auto"/>
            </w:tcBorders>
          </w:tcPr>
          <w:p>
            <w:pPr>
              <w:spacing w:after="0"/>
              <w:rPr>
                <w:sz w:val="8"/>
                <w:szCs w:val="8"/>
                <w:color w:val="auto"/>
              </w:rPr>
            </w:pPr>
          </w:p>
        </w:tc>
        <w:tc>
          <w:tcPr>
            <w:tcW w:w="6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2"/>
          <w:szCs w:val="12"/>
          <w:i w:val="1"/>
          <w:iCs w:val="1"/>
          <w:color w:val="auto"/>
        </w:rPr>
      </w:pPr>
      <w:r>
        <w:rPr>
          <w:rFonts w:ascii="Arial" w:cs="Arial" w:eastAsia="Arial" w:hAnsi="Arial"/>
          <w:sz w:val="12"/>
          <w:szCs w:val="12"/>
          <w:i w:val="1"/>
          <w:iCs w:val="1"/>
          <w:color w:val="auto"/>
        </w:rPr>
        <w:t>The unrealized pre-tax gains and losses included in earnings were reflected in Sales and other operating revenues and Income from discontinued operations in the Statement of Consolidated Income.</w:t>
      </w:r>
    </w:p>
    <w:p>
      <w:pPr>
        <w:spacing w:after="0" w:line="22" w:lineRule="exact"/>
        <w:rPr>
          <w:rFonts w:ascii="Arial" w:cs="Arial" w:eastAsia="Arial" w:hAnsi="Arial"/>
          <w:sz w:val="12"/>
          <w:szCs w:val="12"/>
          <w:i w:val="1"/>
          <w:iCs w:val="1"/>
          <w:color w:val="auto"/>
        </w:rPr>
      </w:pPr>
    </w:p>
    <w:p>
      <w:pPr>
        <w:ind w:left="340" w:hanging="332"/>
        <w:spacing w:after="0" w:line="221" w:lineRule="auto"/>
        <w:tabs>
          <w:tab w:leader="none" w:pos="34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Purchases and sales primarily represent option premiums paid or received, respectively, during the reporting period and were reflected in Sales and other operating revenues and Income from discontinued operations in the Statement of Consolidated Income.</w:t>
      </w:r>
    </w:p>
    <w:p>
      <w:pPr>
        <w:ind w:left="340" w:hanging="332"/>
        <w:spacing w:after="0" w:line="230" w:lineRule="auto"/>
        <w:tabs>
          <w:tab w:leader="none" w:pos="34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Settlements represent realized gains and losses on derivatives settled during the reporting period and were reflected in Sales and other operating revenues and Income from discontinued operations in the Statement of Consolidated Income.</w:t>
      </w:r>
    </w:p>
    <w:p>
      <w:pPr>
        <w:spacing w:after="0" w:line="141" w:lineRule="exact"/>
        <w:rPr>
          <w:sz w:val="20"/>
          <w:szCs w:val="20"/>
          <w:color w:val="auto"/>
        </w:rPr>
      </w:pPr>
    </w:p>
    <w:p>
      <w:pPr>
        <w:jc w:val="both"/>
        <w:ind w:left="240" w:firstLine="223"/>
        <w:spacing w:after="0" w:line="291" w:lineRule="auto"/>
        <w:rPr>
          <w:sz w:val="20"/>
          <w:szCs w:val="20"/>
          <w:color w:val="auto"/>
        </w:rPr>
      </w:pPr>
      <w:r>
        <w:rPr>
          <w:rFonts w:ascii="Arial" w:cs="Arial" w:eastAsia="Arial" w:hAnsi="Arial"/>
          <w:sz w:val="16"/>
          <w:szCs w:val="16"/>
          <w:color w:val="auto"/>
        </w:rPr>
        <w:t>The significant unobservable inputs used in Level 3 fair value measurements for the Corporation’s physical commodity contracts and derivative instruments primarily include less liquid delivered locations for physical commodity contracts or volatility assumptions for out-of-the-money options. The following table provides information about the Corporation’s significant recurring unobservable inputs used in the Level 3 fair value measurements. Natural gas contracts are usually quoted and transacted using basis pricing relative to an active pricing location (e.g. Henry Hub), for which price inputs represent the approximate value of differences in geography and local market conditions. All other price inputs in the table below represent full contract prices. Significant changes in any of the inputs, independently or correlated, may result in a different fair value.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HESS CORPORATION AND CONSOLIDATED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Unit of</w:t>
            </w: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Range /</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Measurement</w:t>
            </w:r>
          </w:p>
        </w:tc>
        <w:tc>
          <w:tcPr>
            <w:tcW w:w="1740" w:type="dxa"/>
            <w:vAlign w:val="bottom"/>
          </w:tcPr>
          <w:p>
            <w:pPr>
              <w:ind w:left="34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March 31, 2014</w:t>
            </w:r>
          </w:p>
        </w:tc>
        <w:tc>
          <w:tcPr>
            <w:tcW w:w="37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Assets</w:t>
            </w:r>
          </w:p>
        </w:tc>
        <w:tc>
          <w:tcPr>
            <w:tcW w:w="3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Commodity contracts with a fair value of $124 million</w:t>
            </w:r>
          </w:p>
        </w:tc>
        <w:tc>
          <w:tcPr>
            <w:tcW w:w="3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prices</w:t>
            </w:r>
          </w:p>
        </w:tc>
        <w:tc>
          <w:tcPr>
            <w:tcW w:w="3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Crude oil and refined petroleum products</w:t>
            </w:r>
          </w:p>
        </w:tc>
        <w:tc>
          <w:tcPr>
            <w:tcW w:w="37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 / bbl (a)</w:t>
            </w:r>
          </w:p>
        </w:tc>
        <w:tc>
          <w:tcPr>
            <w:tcW w:w="1740" w:type="dxa"/>
            <w:vAlign w:val="bottom"/>
          </w:tcPr>
          <w:p>
            <w:pPr>
              <w:spacing w:after="0"/>
              <w:rPr>
                <w:sz w:val="20"/>
                <w:szCs w:val="20"/>
                <w:color w:val="auto"/>
              </w:rPr>
            </w:pPr>
            <w:r>
              <w:rPr>
                <w:rFonts w:ascii="Arial" w:cs="Arial" w:eastAsia="Arial" w:hAnsi="Arial"/>
                <w:sz w:val="18"/>
                <w:szCs w:val="18"/>
                <w:color w:val="auto"/>
                <w:w w:val="87"/>
              </w:rPr>
              <w:t>$81.13 - 176.82 / 110.61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Electricity</w:t>
            </w:r>
          </w:p>
        </w:tc>
        <w:tc>
          <w:tcPr>
            <w:tcW w:w="3700" w:type="dxa"/>
            <w:vAlign w:val="bottom"/>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 / MWH (b)</w:t>
            </w:r>
          </w:p>
        </w:tc>
        <w:tc>
          <w:tcPr>
            <w:tcW w:w="1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$17.01 - 153.10 / 59.08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Basis prices</w:t>
            </w:r>
          </w:p>
        </w:tc>
        <w:tc>
          <w:tcPr>
            <w:tcW w:w="3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Natural gas</w:t>
            </w:r>
          </w:p>
        </w:tc>
        <w:tc>
          <w:tcPr>
            <w:tcW w:w="3700" w:type="dxa"/>
            <w:vAlign w:val="bottom"/>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 / MMBTU (c)</w:t>
            </w:r>
          </w:p>
        </w:tc>
        <w:tc>
          <w:tcPr>
            <w:tcW w:w="1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$(4.69) - 13.75 / 0.03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Contract volatilities</w:t>
            </w:r>
          </w:p>
        </w:tc>
        <w:tc>
          <w:tcPr>
            <w:tcW w:w="3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Crude oil and refined petroleum products</w:t>
            </w:r>
          </w:p>
        </w:tc>
        <w:tc>
          <w:tcPr>
            <w:tcW w:w="4820" w:type="dxa"/>
            <w:vAlign w:val="bottom"/>
            <w:gridSpan w:val="2"/>
            <w:shd w:val="clear" w:color="auto" w:fill="CCEEFF"/>
          </w:tcPr>
          <w:p>
            <w:pPr>
              <w:jc w:val="center"/>
              <w:ind w:left="361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15.79 - 17.44 / 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Natural gas</w:t>
            </w:r>
          </w:p>
        </w:tc>
        <w:tc>
          <w:tcPr>
            <w:tcW w:w="4820" w:type="dxa"/>
            <w:vAlign w:val="bottom"/>
            <w:gridSpan w:val="2"/>
          </w:tcPr>
          <w:p>
            <w:pPr>
              <w:jc w:val="center"/>
              <w:ind w:left="361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17.00 - 31.00 / 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Electricity</w:t>
            </w:r>
          </w:p>
        </w:tc>
        <w:tc>
          <w:tcPr>
            <w:tcW w:w="4820" w:type="dxa"/>
            <w:vAlign w:val="bottom"/>
            <w:gridSpan w:val="2"/>
            <w:shd w:val="clear" w:color="auto" w:fill="CCEEFF"/>
          </w:tcPr>
          <w:p>
            <w:pPr>
              <w:jc w:val="center"/>
              <w:ind w:left="361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19.00 - 42.00 / 35.00</w:t>
            </w:r>
          </w:p>
        </w:tc>
        <w:tc>
          <w:tcPr>
            <w:tcW w:w="0" w:type="dxa"/>
            <w:vAlign w:val="bottom"/>
          </w:tcPr>
          <w:p>
            <w:pPr>
              <w:spacing w:after="0"/>
              <w:rPr>
                <w:sz w:val="1"/>
                <w:szCs w:val="1"/>
                <w:color w:val="auto"/>
              </w:rPr>
            </w:pPr>
          </w:p>
        </w:tc>
      </w:tr>
      <w:tr>
        <w:trPr>
          <w:trHeight w:val="437"/>
        </w:trPr>
        <w:tc>
          <w:tcPr>
            <w:tcW w:w="47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37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Commodity contracts with a fair value of $62 million</w:t>
            </w:r>
          </w:p>
        </w:tc>
        <w:tc>
          <w:tcPr>
            <w:tcW w:w="3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prices</w:t>
            </w:r>
          </w:p>
        </w:tc>
        <w:tc>
          <w:tcPr>
            <w:tcW w:w="3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Crude oil and refined petroleum products</w:t>
            </w:r>
          </w:p>
        </w:tc>
        <w:tc>
          <w:tcPr>
            <w:tcW w:w="37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 / bbl (a)</w:t>
            </w:r>
          </w:p>
        </w:tc>
        <w:tc>
          <w:tcPr>
            <w:tcW w:w="1740" w:type="dxa"/>
            <w:vAlign w:val="bottom"/>
          </w:tcPr>
          <w:p>
            <w:pPr>
              <w:spacing w:after="0"/>
              <w:rPr>
                <w:sz w:val="20"/>
                <w:szCs w:val="20"/>
                <w:color w:val="auto"/>
              </w:rPr>
            </w:pPr>
            <w:r>
              <w:rPr>
                <w:rFonts w:ascii="Arial" w:cs="Arial" w:eastAsia="Arial" w:hAnsi="Arial"/>
                <w:sz w:val="18"/>
                <w:szCs w:val="18"/>
                <w:color w:val="auto"/>
                <w:w w:val="87"/>
              </w:rPr>
              <w:t>$83.85 - 173.46 / 107.73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Electricity</w:t>
            </w:r>
          </w:p>
        </w:tc>
        <w:tc>
          <w:tcPr>
            <w:tcW w:w="3700" w:type="dxa"/>
            <w:vAlign w:val="bottom"/>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 / MWH (b)</w:t>
            </w:r>
          </w:p>
        </w:tc>
        <w:tc>
          <w:tcPr>
            <w:tcW w:w="1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$21.16 - 156.10 / 65.30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Basis prices</w:t>
            </w:r>
          </w:p>
        </w:tc>
        <w:tc>
          <w:tcPr>
            <w:tcW w:w="3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Natural gas</w:t>
            </w:r>
          </w:p>
        </w:tc>
        <w:tc>
          <w:tcPr>
            <w:tcW w:w="3700" w:type="dxa"/>
            <w:vAlign w:val="bottom"/>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 / MMBTU (c)</w:t>
            </w:r>
          </w:p>
        </w:tc>
        <w:tc>
          <w:tcPr>
            <w:tcW w:w="1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$(2.15) - 13.60 / 2.64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Contract volatilities</w:t>
            </w:r>
          </w:p>
        </w:tc>
        <w:tc>
          <w:tcPr>
            <w:tcW w:w="3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Crude oil and refined petroleum products</w:t>
            </w:r>
          </w:p>
        </w:tc>
        <w:tc>
          <w:tcPr>
            <w:tcW w:w="4820" w:type="dxa"/>
            <w:vAlign w:val="bottom"/>
            <w:gridSpan w:val="2"/>
            <w:shd w:val="clear" w:color="auto" w:fill="CCEEFF"/>
          </w:tcPr>
          <w:p>
            <w:pPr>
              <w:jc w:val="center"/>
              <w:ind w:left="361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16.00 - 16.00 / 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Electricity</w:t>
            </w:r>
          </w:p>
        </w:tc>
        <w:tc>
          <w:tcPr>
            <w:tcW w:w="4820" w:type="dxa"/>
            <w:vAlign w:val="bottom"/>
            <w:gridSpan w:val="2"/>
          </w:tcPr>
          <w:p>
            <w:pPr>
              <w:jc w:val="center"/>
              <w:ind w:left="361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19.00 - 42.00 / 33.00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7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2013</w:t>
            </w:r>
          </w:p>
        </w:tc>
        <w:tc>
          <w:tcPr>
            <w:tcW w:w="3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Assets</w:t>
            </w:r>
          </w:p>
        </w:tc>
        <w:tc>
          <w:tcPr>
            <w:tcW w:w="3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Commodity contracts with a fair value of $494 million</w:t>
            </w:r>
          </w:p>
        </w:tc>
        <w:tc>
          <w:tcPr>
            <w:tcW w:w="3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prices</w:t>
            </w:r>
          </w:p>
        </w:tc>
        <w:tc>
          <w:tcPr>
            <w:tcW w:w="3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Crude oil and refined petroleum products</w:t>
            </w:r>
          </w:p>
        </w:tc>
        <w:tc>
          <w:tcPr>
            <w:tcW w:w="37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 / bbl (a)</w:t>
            </w:r>
          </w:p>
        </w:tc>
        <w:tc>
          <w:tcPr>
            <w:tcW w:w="1740" w:type="dxa"/>
            <w:vAlign w:val="bottom"/>
          </w:tcPr>
          <w:p>
            <w:pPr>
              <w:spacing w:after="0"/>
              <w:rPr>
                <w:sz w:val="20"/>
                <w:szCs w:val="20"/>
                <w:color w:val="auto"/>
              </w:rPr>
            </w:pPr>
            <w:r>
              <w:rPr>
                <w:rFonts w:ascii="Arial" w:cs="Arial" w:eastAsia="Arial" w:hAnsi="Arial"/>
                <w:sz w:val="18"/>
                <w:szCs w:val="18"/>
                <w:color w:val="auto"/>
                <w:w w:val="87"/>
              </w:rPr>
              <w:t>$78.45 - 228.86 / 118.68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Electricity</w:t>
            </w:r>
          </w:p>
        </w:tc>
        <w:tc>
          <w:tcPr>
            <w:tcW w:w="3700" w:type="dxa"/>
            <w:vAlign w:val="bottom"/>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 / MWH (b)</w:t>
            </w:r>
          </w:p>
        </w:tc>
        <w:tc>
          <w:tcPr>
            <w:tcW w:w="1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$19.52 - 165.75 / 45.76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Basis prices</w:t>
            </w:r>
          </w:p>
        </w:tc>
        <w:tc>
          <w:tcPr>
            <w:tcW w:w="3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Natural gas</w:t>
            </w:r>
          </w:p>
        </w:tc>
        <w:tc>
          <w:tcPr>
            <w:tcW w:w="3700" w:type="dxa"/>
            <w:vAlign w:val="bottom"/>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 / MMBTU (c)</w:t>
            </w:r>
          </w:p>
        </w:tc>
        <w:tc>
          <w:tcPr>
            <w:tcW w:w="1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$(4.99) - 18.10 / 0.23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Contract volatilities</w:t>
            </w:r>
          </w:p>
        </w:tc>
        <w:tc>
          <w:tcPr>
            <w:tcW w:w="3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Crude oil and refined petroleum products</w:t>
            </w:r>
          </w:p>
        </w:tc>
        <w:tc>
          <w:tcPr>
            <w:tcW w:w="4820" w:type="dxa"/>
            <w:vAlign w:val="bottom"/>
            <w:gridSpan w:val="2"/>
            <w:shd w:val="clear" w:color="auto" w:fill="CCEEFF"/>
          </w:tcPr>
          <w:p>
            <w:pPr>
              <w:jc w:val="center"/>
              <w:ind w:left="361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16.00 - 18.00 / 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Natural gas</w:t>
            </w:r>
          </w:p>
        </w:tc>
        <w:tc>
          <w:tcPr>
            <w:tcW w:w="4820" w:type="dxa"/>
            <w:vAlign w:val="bottom"/>
            <w:gridSpan w:val="2"/>
          </w:tcPr>
          <w:p>
            <w:pPr>
              <w:jc w:val="center"/>
              <w:ind w:left="361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17.00 - 35.00 / 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Electricity</w:t>
            </w:r>
          </w:p>
        </w:tc>
        <w:tc>
          <w:tcPr>
            <w:tcW w:w="4820" w:type="dxa"/>
            <w:vAlign w:val="bottom"/>
            <w:gridSpan w:val="2"/>
            <w:shd w:val="clear" w:color="auto" w:fill="CCEEFF"/>
          </w:tcPr>
          <w:p>
            <w:pPr>
              <w:jc w:val="center"/>
              <w:ind w:left="361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16.00 - 36.00 / 23.00</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700" w:type="dxa"/>
            <w:vAlign w:val="bottom"/>
          </w:tcPr>
          <w:p>
            <w:pPr>
              <w:jc w:val="right"/>
              <w:ind w:right="2552"/>
              <w:spacing w:after="0"/>
              <w:rPr>
                <w:sz w:val="20"/>
                <w:szCs w:val="20"/>
                <w:color w:val="auto"/>
              </w:rPr>
            </w:pPr>
            <w:r>
              <w:rPr>
                <w:rFonts w:ascii="Arial" w:cs="Arial" w:eastAsia="Arial" w:hAnsi="Arial"/>
                <w:sz w:val="18"/>
                <w:szCs w:val="18"/>
                <w:color w:val="auto"/>
              </w:rPr>
              <w:t>22</w:t>
            </w: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HESS CORPORATION AND CONSOLIDATED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Unit of</w:t>
            </w: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Range /</w:t>
            </w:r>
          </w:p>
        </w:tc>
      </w:tr>
      <w:tr>
        <w:trPr>
          <w:trHeight w:val="161"/>
        </w:trPr>
        <w:tc>
          <w:tcPr>
            <w:tcW w:w="844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Measurement</w:t>
            </w:r>
          </w:p>
        </w:tc>
        <w:tc>
          <w:tcPr>
            <w:tcW w:w="1740" w:type="dxa"/>
            <w:vAlign w:val="bottom"/>
          </w:tcPr>
          <w:p>
            <w:pPr>
              <w:ind w:left="340"/>
              <w:spacing w:after="0"/>
              <w:rPr>
                <w:sz w:val="20"/>
                <w:szCs w:val="20"/>
                <w:color w:val="auto"/>
              </w:rPr>
            </w:pPr>
            <w:r>
              <w:rPr>
                <w:rFonts w:ascii="Arial" w:cs="Arial" w:eastAsia="Arial" w:hAnsi="Arial"/>
                <w:sz w:val="14"/>
                <w:szCs w:val="14"/>
                <w:b w:val="1"/>
                <w:bCs w:val="1"/>
                <w:color w:val="auto"/>
              </w:rPr>
              <w:t>Weighted Average</w:t>
            </w:r>
          </w:p>
        </w:tc>
      </w:tr>
      <w:tr>
        <w:trPr>
          <w:trHeight w:val="196"/>
        </w:trPr>
        <w:tc>
          <w:tcPr>
            <w:tcW w:w="8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2013</w:t>
            </w: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08"/>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Commodity contracts with a fair value of $285 million</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24"/>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prices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Crude oil and refined petroleum products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 / bbl (a)</w:t>
            </w:r>
          </w:p>
        </w:tc>
        <w:tc>
          <w:tcPr>
            <w:tcW w:w="1740" w:type="dxa"/>
            <w:vAlign w:val="bottom"/>
          </w:tcPr>
          <w:p>
            <w:pPr>
              <w:spacing w:after="0"/>
              <w:rPr>
                <w:sz w:val="20"/>
                <w:szCs w:val="20"/>
                <w:color w:val="auto"/>
              </w:rPr>
            </w:pPr>
            <w:r>
              <w:rPr>
                <w:rFonts w:ascii="Arial" w:cs="Arial" w:eastAsia="Arial" w:hAnsi="Arial"/>
                <w:sz w:val="18"/>
                <w:szCs w:val="18"/>
                <w:color w:val="auto"/>
                <w:w w:val="87"/>
              </w:rPr>
              <w:t>$57.45 - 183.89 / 122.54</w:t>
            </w: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Electricity</w:t>
            </w:r>
          </w:p>
        </w:tc>
        <w:tc>
          <w:tcPr>
            <w:tcW w:w="124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 / MWH (b)</w:t>
            </w:r>
          </w:p>
        </w:tc>
        <w:tc>
          <w:tcPr>
            <w:tcW w:w="1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$26.48 - 155.33 / 43.12</w:t>
            </w:r>
          </w:p>
        </w:tc>
      </w:tr>
      <w:tr>
        <w:trPr>
          <w:trHeight w:val="222"/>
        </w:trPr>
        <w:tc>
          <w:tcPr>
            <w:tcW w:w="8440" w:type="dxa"/>
            <w:vAlign w:val="bottom"/>
          </w:tcPr>
          <w:p>
            <w:pPr>
              <w:ind w:left="220"/>
              <w:spacing w:after="0"/>
              <w:rPr>
                <w:sz w:val="20"/>
                <w:szCs w:val="20"/>
                <w:color w:val="auto"/>
              </w:rPr>
            </w:pPr>
            <w:r>
              <w:rPr>
                <w:rFonts w:ascii="Arial" w:cs="Arial" w:eastAsia="Arial" w:hAnsi="Arial"/>
                <w:sz w:val="18"/>
                <w:szCs w:val="18"/>
                <w:color w:val="auto"/>
              </w:rPr>
              <w:t>Basis prices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7"/>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Natural gas</w:t>
            </w:r>
          </w:p>
        </w:tc>
        <w:tc>
          <w:tcPr>
            <w:tcW w:w="124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 / MMBTU (c)</w:t>
            </w:r>
          </w:p>
        </w:tc>
        <w:tc>
          <w:tcPr>
            <w:tcW w:w="1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$(1.90) - 18.00 / (0.62)</w:t>
            </w:r>
          </w:p>
        </w:tc>
      </w:tr>
      <w:tr>
        <w:trPr>
          <w:trHeight w:val="222"/>
        </w:trPr>
        <w:tc>
          <w:tcPr>
            <w:tcW w:w="8440" w:type="dxa"/>
            <w:vAlign w:val="bottom"/>
          </w:tcPr>
          <w:p>
            <w:pPr>
              <w:ind w:left="220"/>
              <w:spacing w:after="0"/>
              <w:rPr>
                <w:sz w:val="20"/>
                <w:szCs w:val="20"/>
                <w:color w:val="auto"/>
              </w:rPr>
            </w:pPr>
            <w:r>
              <w:rPr>
                <w:rFonts w:ascii="Arial" w:cs="Arial" w:eastAsia="Arial" w:hAnsi="Arial"/>
                <w:sz w:val="18"/>
                <w:szCs w:val="18"/>
                <w:color w:val="auto"/>
              </w:rPr>
              <w:t>Contract volatilities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7"/>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Crude oil and refined petroleum products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16.00 - 17.00 / 17.00</w:t>
            </w: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Natural gas</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34.00 - 35.00 / 35.00</w:t>
            </w: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Electricity</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16.00 - 36.00 / 22.00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517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Price per barrel.</w:t>
      </w:r>
    </w:p>
    <w:p>
      <w:pPr>
        <w:ind w:left="340" w:hanging="332"/>
        <w:spacing w:after="0" w:line="221" w:lineRule="auto"/>
        <w:tabs>
          <w:tab w:leader="none" w:pos="34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Price per megawatt hour.</w:t>
      </w:r>
    </w:p>
    <w:p>
      <w:pPr>
        <w:ind w:left="340" w:hanging="332"/>
        <w:spacing w:after="0" w:line="221" w:lineRule="auto"/>
        <w:tabs>
          <w:tab w:leader="none" w:pos="34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Price per million British thermal unit.</w:t>
      </w:r>
    </w:p>
    <w:p>
      <w:pPr>
        <w:spacing w:after="0"/>
        <w:rPr>
          <w:sz w:val="20"/>
          <w:szCs w:val="20"/>
          <w:color w:val="auto"/>
        </w:rPr>
      </w:pPr>
      <w:r>
        <w:rPr>
          <w:rFonts w:ascii="Arial" w:cs="Arial" w:eastAsia="Arial" w:hAnsi="Arial"/>
          <w:sz w:val="14"/>
          <w:szCs w:val="14"/>
          <w:i w:val="1"/>
          <w:iCs w:val="1"/>
          <w:color w:val="auto"/>
        </w:rPr>
        <w:t>Note: Fair value measurement for all recurring inputs was performed using a combination of income and market approach techniques.</w:t>
      </w:r>
    </w:p>
    <w:p>
      <w:pPr>
        <w:spacing w:after="0" w:line="140" w:lineRule="exact"/>
        <w:rPr>
          <w:sz w:val="20"/>
          <w:szCs w:val="20"/>
          <w:color w:val="auto"/>
        </w:rPr>
      </w:pPr>
    </w:p>
    <w:p>
      <w:pPr>
        <w:jc w:val="both"/>
        <w:ind w:left="240" w:firstLine="223"/>
        <w:spacing w:after="0" w:line="305" w:lineRule="auto"/>
        <w:rPr>
          <w:sz w:val="20"/>
          <w:szCs w:val="20"/>
          <w:color w:val="auto"/>
        </w:rPr>
      </w:pPr>
      <w:r>
        <w:rPr>
          <w:rFonts w:ascii="Arial" w:cs="Arial" w:eastAsia="Arial" w:hAnsi="Arial"/>
          <w:sz w:val="15"/>
          <w:szCs w:val="15"/>
          <w:b w:val="1"/>
          <w:bCs w:val="1"/>
          <w:i w:val="1"/>
          <w:iCs w:val="1"/>
          <w:color w:val="auto"/>
        </w:rPr>
        <w:t xml:space="preserve">Credit Risk: </w:t>
      </w:r>
      <w:r>
        <w:rPr>
          <w:rFonts w:ascii="Arial" w:cs="Arial" w:eastAsia="Arial" w:hAnsi="Arial"/>
          <w:sz w:val="15"/>
          <w:szCs w:val="15"/>
          <w:color w:val="auto"/>
        </w:rPr>
        <w:t>The Corporation is exposed to credit risks that may at times be concentrated with certain counterparties, groups of counterparties or customers.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Accounts receivable are generated from a diverse domestic and international customer base. As of March 31, 2014, the Corporation’s net Accounts receivable</w:t>
      </w:r>
    </w:p>
    <w:p>
      <w:pPr>
        <w:jc w:val="both"/>
        <w:ind w:left="240"/>
        <w:spacing w:after="0" w:line="288" w:lineRule="auto"/>
        <w:rPr>
          <w:sz w:val="20"/>
          <w:szCs w:val="20"/>
          <w:color w:val="auto"/>
        </w:rPr>
      </w:pPr>
      <w:r>
        <w:rPr>
          <w:rFonts w:ascii="Arial" w:cs="Arial" w:eastAsia="Arial" w:hAnsi="Arial"/>
          <w:sz w:val="16"/>
          <w:szCs w:val="16"/>
          <w:color w:val="auto"/>
        </w:rPr>
        <w:t>– Trade related to continuing operations were concentrated with the following counterparty industry segments: Integrated Oil Companies – 29%, Refiners – 24%, Trading Companies – 21%, Financial Institutions – 15% and Government Entities – 6%. As of December 31, 2013, the Corporation’s net Accounts receivable – Trade were concentrated as follows: Integrated Oil Companies – 45%, Refiners – 18%, Financial Institutions – 14%, Government Entities – 8% and Trading Companies – 7%. The Corporation reduces its risk related to certain counterparties by using master netting arrangements and requiring collateral, generally cash or letters of credit. The Corporation records the cash collateral received or posted as an offset to the fair value of derivatives executed with the same counterparty. At March 31, 2014 and December 31, 2013, the Corporation held cash from counterparties of $62 million and $79 million, respectively. The Corporation posted cash to counterparties at March 31, 2014 and December 31, 2013, of $19 million and $168 million, respectively.</w:t>
      </w:r>
    </w:p>
    <w:p>
      <w:pPr>
        <w:spacing w:after="0" w:line="123" w:lineRule="exact"/>
        <w:rPr>
          <w:sz w:val="20"/>
          <w:szCs w:val="20"/>
          <w:color w:val="auto"/>
        </w:rPr>
      </w:pPr>
    </w:p>
    <w:p>
      <w:pPr>
        <w:jc w:val="both"/>
        <w:ind w:left="240" w:firstLine="223"/>
        <w:spacing w:after="0" w:line="288" w:lineRule="auto"/>
        <w:rPr>
          <w:sz w:val="20"/>
          <w:szCs w:val="20"/>
          <w:color w:val="auto"/>
        </w:rPr>
      </w:pPr>
      <w:r>
        <w:rPr>
          <w:rFonts w:ascii="Arial" w:cs="Arial" w:eastAsia="Arial" w:hAnsi="Arial"/>
          <w:sz w:val="16"/>
          <w:szCs w:val="16"/>
          <w:color w:val="auto"/>
        </w:rPr>
        <w:t>The Corporation had outstanding letters of credit totaling $389 million and $410 million at March 31, 2014 and December 31, 2013, respectively, primarily issued to satisfy margin requirements (approximately $105 million and $196 million related to discontinued operations at March 31, 2014 and December 31, 2013, respectively). Certain of the Corporation’s agreements also contain contingent collateral provisions that could require the Corporation to post additional collateral if the Corporation’s credit rating declines. As of March 31, 2014, the net liability related to both realized and unrealized derivative contracts with contingent collateral provisions was approximately $152 million ($281 million at December 31, 2013). There was $3 million cash collateral posted on those derivatives at March 31, 2014 ($31 million at December 31, 2013). At March 31, 2014 and at December 31, 2013, all three major credit rating agencies that rate the Corporation’s debt had assigned an investment grade rating. If one of the three agencies were to downgrade the Corporation’s rating to below investment grade, the Corporation would be required to post additional collateral of approximately $104 million at March 31, 2014 and $134 million at December 31, 2013.</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96" w:lineRule="exact"/>
        <w:rPr>
          <w:sz w:val="20"/>
          <w:szCs w:val="20"/>
          <w:color w:val="auto"/>
        </w:rPr>
      </w:pPr>
    </w:p>
    <w:p>
      <w:pPr>
        <w:jc w:val="both"/>
        <w:ind w:left="240" w:firstLine="223"/>
        <w:spacing w:after="0" w:line="259" w:lineRule="auto"/>
        <w:rPr>
          <w:sz w:val="20"/>
          <w:szCs w:val="20"/>
          <w:color w:val="auto"/>
        </w:rPr>
      </w:pPr>
      <w:r>
        <w:rPr>
          <w:rFonts w:ascii="Arial" w:cs="Arial" w:eastAsia="Arial" w:hAnsi="Arial"/>
          <w:sz w:val="18"/>
          <w:szCs w:val="18"/>
          <w:color w:val="auto"/>
        </w:rPr>
        <w:t>In April 2014, the Corporation sold its interests in Thailand for proceeds totaling approximately $1 billion, based on an effective date of July 1, 2013. The Corporation also signed an agreement in April 2014, with completion expected mid-year, to sell its 50% interest in a joint venture that is constructing an electric generating facility in Newark, New Jersey for approximately $330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Overview</w:t>
      </w:r>
    </w:p>
    <w:p>
      <w:pPr>
        <w:spacing w:after="0" w:line="96" w:lineRule="exact"/>
        <w:rPr>
          <w:sz w:val="20"/>
          <w:szCs w:val="20"/>
          <w:color w:val="auto"/>
        </w:rPr>
      </w:pPr>
    </w:p>
    <w:p>
      <w:pPr>
        <w:jc w:val="both"/>
        <w:ind w:left="240" w:firstLine="223"/>
        <w:spacing w:after="0" w:line="291" w:lineRule="auto"/>
        <w:rPr>
          <w:sz w:val="20"/>
          <w:szCs w:val="20"/>
          <w:color w:val="auto"/>
        </w:rPr>
      </w:pPr>
      <w:r>
        <w:rPr>
          <w:rFonts w:ascii="Arial" w:cs="Arial" w:eastAsia="Arial" w:hAnsi="Arial"/>
          <w:sz w:val="16"/>
          <w:szCs w:val="16"/>
          <w:color w:val="auto"/>
        </w:rPr>
        <w:t>Hess Corporation (the Corporation or Hess) is a global Exploration and Production (E&amp;P) company that develops, produces, purchases, transports and sells crude oil and natural gas. In March 2013, the Corporation announced an asset sales program that included divesting its downstream businesses and oil and gas properties in Indonesia and Thailand to continue its transformation into a more focused pure play E&amp;P company. Other actions announced by the Corporation included returning capital to shareholders. In the third quarter of 2013, the Corporation increased its quarterly dividend 150% to $0.25 per common share and commenced share repurchases under an authorized $4 billion share repurchase program. From August 2013 through March 31, 2014, Hess purchased approximately 31.9 million common shares at a cost of approximately $2.5 billion.</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First Quarter Results</w:t>
      </w:r>
    </w:p>
    <w:p>
      <w:pPr>
        <w:spacing w:after="0" w:line="96" w:lineRule="exact"/>
        <w:rPr>
          <w:sz w:val="20"/>
          <w:szCs w:val="20"/>
          <w:color w:val="auto"/>
        </w:rPr>
      </w:pPr>
    </w:p>
    <w:p>
      <w:pPr>
        <w:jc w:val="both"/>
        <w:ind w:left="240" w:firstLine="223"/>
        <w:spacing w:after="0" w:line="256" w:lineRule="auto"/>
        <w:rPr>
          <w:sz w:val="20"/>
          <w:szCs w:val="20"/>
          <w:color w:val="auto"/>
        </w:rPr>
      </w:pPr>
      <w:r>
        <w:rPr>
          <w:rFonts w:ascii="Arial" w:cs="Arial" w:eastAsia="Arial" w:hAnsi="Arial"/>
          <w:sz w:val="18"/>
          <w:szCs w:val="18"/>
          <w:color w:val="auto"/>
        </w:rPr>
        <w:t>The Corporation reported net income of $386 million in the first quarter of 2014, compared with $1,276 million in the first quarter of 2013. Excluding items affecting comparability of earnings between periods on page 25, earnings were $446 million in the first quarter of 2014 down from $669 million in the first quarter of 2013, primarily due to the impact on operating earnings related to divesting E&amp;P assets and downstream businesses. E&amp;P asset sales reduced 2014 production by 77,000 barrels of oil equivalent per day (boepd).</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Exploration and Production</w:t>
      </w:r>
    </w:p>
    <w:p>
      <w:pPr>
        <w:spacing w:after="0" w:line="96" w:lineRule="exact"/>
        <w:rPr>
          <w:sz w:val="20"/>
          <w:szCs w:val="20"/>
          <w:color w:val="auto"/>
        </w:rPr>
      </w:pPr>
    </w:p>
    <w:p>
      <w:pPr>
        <w:jc w:val="both"/>
        <w:ind w:left="240" w:firstLine="223"/>
        <w:spacing w:after="0" w:line="290" w:lineRule="auto"/>
        <w:rPr>
          <w:sz w:val="20"/>
          <w:szCs w:val="20"/>
          <w:color w:val="auto"/>
        </w:rPr>
      </w:pPr>
      <w:r>
        <w:rPr>
          <w:rFonts w:ascii="Arial" w:cs="Arial" w:eastAsia="Arial" w:hAnsi="Arial"/>
          <w:sz w:val="16"/>
          <w:szCs w:val="16"/>
          <w:color w:val="auto"/>
        </w:rPr>
        <w:t>E&amp;P earnings were $508 million in the first quarter of 2014 compared with $1,286 million in the first quarter of 2013. Adjusted earnings, excluding items affecting comparability of earning between periods, were $514 million and $698 million in the first quarter of 2014 and 2013, respectively. In the first quarter of 2014, the Corporation’s average worldwide crude oil selling price, including the effect of hedging, was $99.17 per barrel up from $94.50 per barrel in the first quarter of 2013. The Corporation’s average worldwide natural gas selling price was $7.03 per thousand cubic feet (mcf) in the first quarter of 2014, compared with $6.62 per mcf in the first quarter of 2013. Worldwide crude oil and natural gas production was 318,000 boepd in the first quarter of 2014, compared with 389,000 boepd in the same period of 2013. Pro forma production, which excludes production from assets sold and classified as held for sale at March 31, 2014, as well as any contribution from Libya, was 297,000 boepd and 268,000 boepd in the first quarter of 2014 and 2013, respectively.</w:t>
      </w:r>
    </w:p>
    <w:p>
      <w:pPr>
        <w:spacing w:after="0" w:line="118" w:lineRule="exact"/>
        <w:rPr>
          <w:sz w:val="20"/>
          <w:szCs w:val="20"/>
          <w:color w:val="auto"/>
        </w:rPr>
      </w:pPr>
    </w:p>
    <w:p>
      <w:pPr>
        <w:jc w:val="both"/>
        <w:ind w:left="240" w:firstLine="223"/>
        <w:spacing w:after="0" w:line="268" w:lineRule="auto"/>
        <w:rPr>
          <w:sz w:val="20"/>
          <w:szCs w:val="20"/>
          <w:color w:val="auto"/>
        </w:rPr>
      </w:pPr>
      <w:r>
        <w:rPr>
          <w:rFonts w:ascii="Arial" w:cs="Arial" w:eastAsia="Arial" w:hAnsi="Arial"/>
          <w:sz w:val="18"/>
          <w:szCs w:val="18"/>
          <w:color w:val="auto"/>
        </w:rPr>
        <w:t>The Corporation expects production to average between 295,000 boepd and 300,000 boepd for the second quarter of 2014. The Corporation’s full year 2014 production forecast is expected to be between 305,000 boepd and 315,000 boepd.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an update of E&amp;P activities:</w:t>
      </w:r>
    </w:p>
    <w:p>
      <w:pPr>
        <w:spacing w:after="0" w:line="90" w:lineRule="exact"/>
        <w:rPr>
          <w:sz w:val="20"/>
          <w:szCs w:val="20"/>
          <w:color w:val="auto"/>
        </w:rPr>
      </w:pPr>
    </w:p>
    <w:p>
      <w:pPr>
        <w:jc w:val="both"/>
        <w:ind w:left="1120" w:hanging="207"/>
        <w:spacing w:after="0" w:line="259"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North Dakota, net production from the Bakken oil shale play averaged 63,000 boepd for the first quarter of 2014 and 65,000 boepd in the first quarter of 2013. Production was curtailed in the first quarter, primarily due to the shutdown of the Tioga gas plant for the expansion project, which was completed with startup operations commencing in late March.</w:t>
      </w:r>
    </w:p>
    <w:p>
      <w:pPr>
        <w:spacing w:after="0" w:line="59" w:lineRule="exact"/>
        <w:rPr>
          <w:rFonts w:ascii="Arial" w:cs="Arial" w:eastAsia="Arial" w:hAnsi="Arial"/>
          <w:sz w:val="18"/>
          <w:szCs w:val="18"/>
          <w:color w:val="auto"/>
        </w:rPr>
      </w:pPr>
    </w:p>
    <w:p>
      <w:pPr>
        <w:ind w:left="1120" w:hanging="207"/>
        <w:spacing w:after="0" w:line="268"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the Valhall Field in Norway, net production averaged 37,000 thousand boepd in the first quarter. Full year 2014 net production from Valhall is forecast to be in the range of 30,000 boepd to 35,000 boepd.</w:t>
      </w:r>
    </w:p>
    <w:p>
      <w:pPr>
        <w:spacing w:after="0" w:line="50" w:lineRule="exact"/>
        <w:rPr>
          <w:rFonts w:ascii="Arial" w:cs="Arial" w:eastAsia="Arial" w:hAnsi="Arial"/>
          <w:sz w:val="18"/>
          <w:szCs w:val="18"/>
          <w:color w:val="auto"/>
        </w:rPr>
      </w:pPr>
    </w:p>
    <w:p>
      <w:pPr>
        <w:ind w:left="1120" w:hanging="207"/>
        <w:spacing w:after="0" w:line="332"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Utica shale, the Corporation reached an agreement to sell approximately 74,000 net acres in the dry gas corridor. In addition, eight wells were drilled, three wells were completed and one well was tested across the Corporation’s joint venture acreage.</w:t>
      </w:r>
    </w:p>
    <w:p>
      <w:pPr>
        <w:spacing w:after="0" w:line="4" w:lineRule="exact"/>
        <w:rPr>
          <w:rFonts w:ascii="Arial" w:cs="Arial" w:eastAsia="Arial" w:hAnsi="Arial"/>
          <w:sz w:val="16"/>
          <w:szCs w:val="16"/>
          <w:color w:val="auto"/>
        </w:rPr>
      </w:pPr>
    </w:p>
    <w:p>
      <w:pPr>
        <w:jc w:val="both"/>
        <w:ind w:left="1120" w:hanging="207"/>
        <w:spacing w:after="0" w:line="306"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At the Tubular Bells development in the deep water Gulf of Mexico, the SPAR and topsides were installed on location during the first quarter and field start-up is planned in the third quarter of 2014, with net production building to 25,000 boepd from the three producing wells available at first oil. A fourth well will be spud mid-year and is expected to be brought on production in the first quarter of 2015.</w:t>
      </w:r>
    </w:p>
    <w:p>
      <w:pPr>
        <w:spacing w:after="0" w:line="25" w:lineRule="exact"/>
        <w:rPr>
          <w:rFonts w:ascii="Arial" w:cs="Arial" w:eastAsia="Arial" w:hAnsi="Arial"/>
          <w:sz w:val="16"/>
          <w:szCs w:val="16"/>
          <w:color w:val="auto"/>
        </w:rPr>
      </w:pPr>
    </w:p>
    <w:p>
      <w:pPr>
        <w:jc w:val="both"/>
        <w:ind w:left="1120" w:hanging="207"/>
        <w:spacing w:after="0" w:line="259"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Deepwater Tano Cape Three Points Block, offshore Ghana, the Corporation farmed-out a 40% working interest to a third party. Hess retains a 50% working interest and operatorship. The third party will pay a disproportionate share of the costs during the appraisal phase. Appraisal drilling is expected to commence in May on the Pecan discovery.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Overview (continued)</w:t>
      </w:r>
    </w:p>
    <w:p>
      <w:pPr>
        <w:spacing w:after="0" w:line="164" w:lineRule="exact"/>
        <w:rPr>
          <w:sz w:val="20"/>
          <w:szCs w:val="20"/>
          <w:color w:val="auto"/>
        </w:rPr>
      </w:pPr>
    </w:p>
    <w:p>
      <w:pPr>
        <w:ind w:left="900" w:right="2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Kurdistan, the Corporation completed drilling at the Shakrok well and is conducting production tests over multiple intervals in Jurassic aged reservoir, which was the primary target of the well. In May, drilling will commence at the Shireen well on the Dinarta Block.</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Libya, production from the Waha fields was shut-in late August 2013 and remains shut-in due to civil unrest in the country.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January 2014, the Corporation completed the sale of its interest in the Pangkah asset offshore Indonesia, for cash proceeds of approximately $650 million. Pangkah was producing at a rate of 10,000 boepd at the time of sale.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Downstream Businesses</w:t>
      </w:r>
    </w:p>
    <w:p>
      <w:pPr>
        <w:spacing w:after="0" w:line="96" w:lineRule="exact"/>
        <w:rPr>
          <w:sz w:val="20"/>
          <w:szCs w:val="20"/>
          <w:color w:val="auto"/>
        </w:rPr>
      </w:pPr>
    </w:p>
    <w:p>
      <w:pPr>
        <w:jc w:val="both"/>
        <w:ind w:left="240" w:firstLine="223"/>
        <w:spacing w:after="0" w:line="294" w:lineRule="auto"/>
        <w:rPr>
          <w:sz w:val="20"/>
          <w:szCs w:val="20"/>
          <w:color w:val="auto"/>
        </w:rPr>
      </w:pPr>
      <w:r>
        <w:rPr>
          <w:rFonts w:ascii="Arial" w:cs="Arial" w:eastAsia="Arial" w:hAnsi="Arial"/>
          <w:sz w:val="16"/>
          <w:szCs w:val="16"/>
          <w:color w:val="auto"/>
        </w:rPr>
        <w:t>The downstream businesses consisted of the Corporation’s retail, energy marketing, terminal, energy trading and refining operations, together with its interests in two power plant joint ventures. By year-end 2013, the energy marketing and terminal businesses had been divested and the remaining refining operation had been shut down. In the first quarter of 2014, divestiture processes also continued for the remaining downstream businesses. In January 2014, in conjunction with the divestiture process for its retail marketing business, the Corporation acquired its partners’ 56% interest in WilcoHess, a retail gasoline joint venture, for approximately $290 million and the settlement of liabilities.</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after-tax income (loss) by major operating activity is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ind w:left="381"/>
              <w:spacing w:after="0"/>
              <w:rPr>
                <w:sz w:val="20"/>
                <w:szCs w:val="20"/>
                <w:color w:val="auto"/>
              </w:rPr>
            </w:pPr>
            <w:r>
              <w:rPr>
                <w:rFonts w:ascii="Arial" w:cs="Arial" w:eastAsia="Arial" w:hAnsi="Arial"/>
                <w:sz w:val="14"/>
                <w:szCs w:val="14"/>
                <w:b w:val="1"/>
                <w:bCs w:val="1"/>
                <w:color w:val="auto"/>
                <w:w w:val="89"/>
              </w:rPr>
              <w:t>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4"/>
          </w:tcPr>
          <w:p>
            <w:pPr>
              <w:jc w:val="center"/>
              <w:ind w:left="381"/>
              <w:spacing w:after="0" w:line="129" w:lineRule="exact"/>
              <w:rPr>
                <w:sz w:val="20"/>
                <w:szCs w:val="20"/>
                <w:color w:val="auto"/>
              </w:rPr>
            </w:pPr>
            <w:r>
              <w:rPr>
                <w:rFonts w:ascii="Arial" w:cs="Arial" w:eastAsia="Arial" w:hAnsi="Arial"/>
                <w:sz w:val="14"/>
                <w:szCs w:val="14"/>
                <w:b w:val="1"/>
                <w:bCs w:val="1"/>
                <w:color w:val="auto"/>
                <w:w w:val="89"/>
              </w:rPr>
              <w:t>(In millions,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Exploration and Production</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Corporate and Interest</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Downstream businesses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vMerge w:val="restart"/>
          </w:tcPr>
          <w:p>
            <w:pPr>
              <w:ind w:left="200"/>
              <w:spacing w:after="0"/>
              <w:rPr>
                <w:sz w:val="20"/>
                <w:szCs w:val="20"/>
                <w:color w:val="auto"/>
              </w:rPr>
            </w:pPr>
            <w:r>
              <w:rPr>
                <w:rFonts w:ascii="Arial" w:cs="Arial" w:eastAsia="Arial" w:hAnsi="Arial"/>
                <w:sz w:val="18"/>
                <w:szCs w:val="18"/>
                <w:color w:val="auto"/>
              </w:rPr>
              <w:t>Net income attributable to Hess Corporation</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Hess Corporation per share — Diluted:</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Continuing operations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Net income attributable to Hess Corporation per share — Diluted</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Items Affecting Comparability of Earnings Between Periods</w:t>
      </w:r>
    </w:p>
    <w:p>
      <w:pPr>
        <w:spacing w:after="0" w:line="96" w:lineRule="exact"/>
        <w:rPr>
          <w:sz w:val="20"/>
          <w:szCs w:val="20"/>
          <w:color w:val="auto"/>
        </w:rPr>
      </w:pPr>
    </w:p>
    <w:p>
      <w:pPr>
        <w:ind w:left="240" w:firstLine="223"/>
        <w:spacing w:after="0" w:line="268" w:lineRule="auto"/>
        <w:rPr>
          <w:sz w:val="20"/>
          <w:szCs w:val="20"/>
          <w:color w:val="auto"/>
        </w:rPr>
      </w:pPr>
      <w:r>
        <w:rPr>
          <w:rFonts w:ascii="Arial" w:cs="Arial" w:eastAsia="Arial" w:hAnsi="Arial"/>
          <w:sz w:val="18"/>
          <w:szCs w:val="18"/>
          <w:color w:val="auto"/>
        </w:rPr>
        <w:t>The following table summarizes, on an after-tax basis, items of income (expense) that are included in net income and affect comparability of earnings between periods. The items in the table below are explained and the pre-tax amounts are shown on pages 30 to 32.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80" w:type="dxa"/>
            <w:vAlign w:val="bottom"/>
            <w:gridSpan w:val="5"/>
          </w:tcPr>
          <w:p>
            <w:pPr>
              <w:jc w:val="center"/>
              <w:ind w:left="229"/>
              <w:spacing w:after="0"/>
              <w:rPr>
                <w:sz w:val="20"/>
                <w:szCs w:val="20"/>
                <w:color w:val="auto"/>
              </w:rPr>
            </w:pPr>
            <w:r>
              <w:rPr>
                <w:rFonts w:ascii="Arial" w:cs="Arial" w:eastAsia="Arial" w:hAnsi="Arial"/>
                <w:sz w:val="14"/>
                <w:szCs w:val="14"/>
                <w:b w:val="1"/>
                <w:bCs w:val="1"/>
                <w:color w:val="auto"/>
                <w:w w:val="88"/>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89"/>
              </w:rPr>
              <w:t>March 31,</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Exploration and Production</w:t>
            </w:r>
          </w:p>
        </w:tc>
        <w:tc>
          <w:tcPr>
            <w:tcW w:w="4780" w:type="dxa"/>
            <w:vAlign w:val="bottom"/>
            <w:gridSpan w:val="2"/>
            <w:shd w:val="clear" w:color="auto" w:fill="CCEEFF"/>
          </w:tcPr>
          <w:p>
            <w:pPr>
              <w:jc w:val="right"/>
              <w:ind w:right="449"/>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588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Corporate and Interest</w:t>
            </w:r>
          </w:p>
        </w:tc>
        <w:tc>
          <w:tcPr>
            <w:tcW w:w="4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Downstream businesses</w:t>
            </w:r>
          </w:p>
        </w:tc>
        <w:tc>
          <w:tcPr>
            <w:tcW w:w="4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20"/>
              <w:spacing w:after="0"/>
              <w:rPr>
                <w:sz w:val="20"/>
                <w:szCs w:val="20"/>
                <w:color w:val="auto"/>
              </w:rPr>
            </w:pPr>
            <w:r>
              <w:rPr>
                <w:rFonts w:ascii="Arial" w:cs="Arial" w:eastAsia="Arial" w:hAnsi="Arial"/>
                <w:sz w:val="18"/>
                <w:szCs w:val="18"/>
                <w:color w:val="auto"/>
                <w:w w:val="97"/>
              </w:rPr>
              <w:t>Total items affecting comparability of earnings between periods</w:t>
            </w:r>
          </w:p>
        </w:tc>
        <w:tc>
          <w:tcPr>
            <w:tcW w:w="4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4180" w:type="dxa"/>
            <w:vAlign w:val="bottom"/>
          </w:tcPr>
          <w:p>
            <w:pPr>
              <w:spacing w:after="0"/>
              <w:rPr>
                <w:sz w:val="19"/>
                <w:szCs w:val="19"/>
                <w:color w:val="auto"/>
              </w:rPr>
            </w:pPr>
          </w:p>
        </w:tc>
        <w:tc>
          <w:tcPr>
            <w:tcW w:w="600" w:type="dxa"/>
            <w:vAlign w:val="bottom"/>
          </w:tcPr>
          <w:p>
            <w:pPr>
              <w:jc w:val="right"/>
              <w:ind w:right="449"/>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(60)</w:t>
            </w:r>
          </w:p>
        </w:tc>
        <w:tc>
          <w:tcPr>
            <w:tcW w:w="6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607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180" w:type="dxa"/>
            <w:vAlign w:val="bottom"/>
            <w:vMerge w:val="restart"/>
          </w:tcPr>
          <w:p>
            <w:pPr>
              <w:jc w:val="right"/>
              <w:ind w:right="3452"/>
              <w:spacing w:after="0"/>
              <w:rPr>
                <w:sz w:val="20"/>
                <w:szCs w:val="20"/>
                <w:color w:val="auto"/>
              </w:rPr>
            </w:pPr>
            <w:r>
              <w:rPr>
                <w:rFonts w:ascii="Arial" w:cs="Arial" w:eastAsia="Arial" w:hAnsi="Arial"/>
                <w:sz w:val="18"/>
                <w:szCs w:val="18"/>
                <w:color w:val="auto"/>
              </w:rPr>
              <w:t>25</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Results of Operations (continued)</w:t>
      </w:r>
    </w:p>
    <w:p>
      <w:pPr>
        <w:spacing w:after="0" w:line="164" w:lineRule="exact"/>
        <w:rPr>
          <w:sz w:val="20"/>
          <w:szCs w:val="20"/>
          <w:color w:val="auto"/>
        </w:rPr>
      </w:pPr>
    </w:p>
    <w:p>
      <w:pPr>
        <w:jc w:val="both"/>
        <w:ind w:left="240" w:firstLine="223"/>
        <w:spacing w:after="0" w:line="298" w:lineRule="auto"/>
        <w:rPr>
          <w:sz w:val="20"/>
          <w:szCs w:val="20"/>
          <w:color w:val="auto"/>
        </w:rPr>
      </w:pPr>
      <w:r>
        <w:rPr>
          <w:rFonts w:ascii="Arial" w:cs="Arial" w:eastAsia="Arial" w:hAnsi="Arial"/>
          <w:sz w:val="16"/>
          <w:szCs w:val="16"/>
          <w:color w:val="auto"/>
        </w:rPr>
        <w:t>In the following discussion and elsewhere in this report, the financial effects of certain transactions are disclosed on an after-tax basis. Management reviews segment earnings on an after-tax basis and uses after-tax amounts in its review of variances in segment earnings. Management believes that after-tax amounts are a preferable method of explaining variances in earnings, since they show the entire effect of a transaction rather than only the pre-tax amount. After-tax amounts are determined by applying the income tax rate in each tax jurisdiction to pre-tax amounts.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Comparison of Results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Exploration and Production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a summarized income statement of the Corporation’s E&amp;P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9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left="336"/>
              <w:spacing w:after="0"/>
              <w:rPr>
                <w:sz w:val="20"/>
                <w:szCs w:val="20"/>
                <w:color w:val="auto"/>
              </w:rPr>
            </w:pPr>
            <w:r>
              <w:rPr>
                <w:rFonts w:ascii="Arial" w:cs="Arial" w:eastAsia="Arial" w:hAnsi="Arial"/>
                <w:sz w:val="14"/>
                <w:szCs w:val="14"/>
                <w:b w:val="1"/>
                <w:bCs w:val="1"/>
                <w:color w:val="auto"/>
                <w:w w:val="89"/>
              </w:rPr>
              <w:t>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r>
      <w:tr>
        <w:trPr>
          <w:trHeight w:val="142"/>
        </w:trPr>
        <w:tc>
          <w:tcPr>
            <w:tcW w:w="9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4"/>
          </w:tcPr>
          <w:p>
            <w:pPr>
              <w:jc w:val="center"/>
              <w:ind w:left="336"/>
              <w:spacing w:after="0" w:line="142" w:lineRule="exact"/>
              <w:rPr>
                <w:sz w:val="20"/>
                <w:szCs w:val="20"/>
                <w:color w:val="auto"/>
              </w:rPr>
            </w:pPr>
            <w:r>
              <w:rPr>
                <w:rFonts w:ascii="Arial" w:cs="Arial" w:eastAsia="Arial" w:hAnsi="Arial"/>
                <w:sz w:val="14"/>
                <w:szCs w:val="14"/>
                <w:b w:val="1"/>
                <w:bCs w:val="1"/>
                <w:color w:val="auto"/>
                <w:w w:val="89"/>
              </w:rPr>
              <w:t>(In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Revenues and Non-operating Income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40" w:type="dxa"/>
            <w:vAlign w:val="bottom"/>
          </w:tcPr>
          <w:p>
            <w:pPr>
              <w:ind w:left="220"/>
              <w:spacing w:after="0"/>
              <w:rPr>
                <w:sz w:val="20"/>
                <w:szCs w:val="20"/>
                <w:color w:val="auto"/>
              </w:rPr>
            </w:pPr>
            <w:r>
              <w:rPr>
                <w:rFonts w:ascii="Arial" w:cs="Arial" w:eastAsia="Arial" w:hAnsi="Arial"/>
                <w:sz w:val="18"/>
                <w:szCs w:val="18"/>
                <w:color w:val="auto"/>
              </w:rPr>
              <w:t>Sales and other operating revenues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2,673</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3,466</w:t>
            </w:r>
          </w:p>
        </w:tc>
      </w:tr>
      <w:tr>
        <w:trPr>
          <w:trHeight w:val="216"/>
        </w:trPr>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on asset sales, net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r>
      <w:tr>
        <w:trPr>
          <w:trHeight w:val="223"/>
        </w:trPr>
        <w:tc>
          <w:tcPr>
            <w:tcW w:w="934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9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revenues and non-operating income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100" w:type="dxa"/>
            <w:vAlign w:val="bottom"/>
            <w:shd w:val="clear" w:color="auto" w:fill="CCEEFF"/>
          </w:tcPr>
          <w:p>
            <w:pPr>
              <w:spacing w:after="0"/>
              <w:rPr>
                <w:sz w:val="18"/>
                <w:szCs w:val="18"/>
                <w:color w:val="auto"/>
              </w:rPr>
            </w:pPr>
          </w:p>
        </w:tc>
      </w:tr>
      <w:tr>
        <w:trPr>
          <w:trHeight w:val="222"/>
        </w:trPr>
        <w:tc>
          <w:tcPr>
            <w:tcW w:w="934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products sold (excluding items shown separately below)</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r>
      <w:tr>
        <w:trPr>
          <w:trHeight w:val="216"/>
        </w:trPr>
        <w:tc>
          <w:tcPr>
            <w:tcW w:w="9340" w:type="dxa"/>
            <w:vAlign w:val="bottom"/>
          </w:tcPr>
          <w:p>
            <w:pPr>
              <w:ind w:left="220"/>
              <w:spacing w:after="0"/>
              <w:rPr>
                <w:sz w:val="20"/>
                <w:szCs w:val="20"/>
                <w:color w:val="auto"/>
              </w:rPr>
            </w:pPr>
            <w:r>
              <w:rPr>
                <w:rFonts w:ascii="Arial" w:cs="Arial" w:eastAsia="Arial" w:hAnsi="Arial"/>
                <w:sz w:val="18"/>
                <w:szCs w:val="18"/>
                <w:color w:val="auto"/>
              </w:rPr>
              <w:t>Operating costs and expenses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r>
      <w:tr>
        <w:trPr>
          <w:trHeight w:val="216"/>
        </w:trPr>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Production and severance taxes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9340" w:type="dxa"/>
            <w:vAlign w:val="bottom"/>
          </w:tcPr>
          <w:p>
            <w:pPr>
              <w:ind w:left="220"/>
              <w:spacing w:after="0"/>
              <w:rPr>
                <w:sz w:val="20"/>
                <w:szCs w:val="20"/>
                <w:color w:val="auto"/>
              </w:rPr>
            </w:pPr>
            <w:r>
              <w:rPr>
                <w:rFonts w:ascii="Arial" w:cs="Arial" w:eastAsia="Arial" w:hAnsi="Arial"/>
                <w:sz w:val="18"/>
                <w:szCs w:val="18"/>
                <w:color w:val="auto"/>
              </w:rPr>
              <w:t>Exploration expenses, including dry holes and lease impairment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23"/>
        </w:trPr>
        <w:tc>
          <w:tcPr>
            <w:tcW w:w="9340" w:type="dxa"/>
            <w:vAlign w:val="bottom"/>
          </w:tcPr>
          <w:p>
            <w:pPr>
              <w:ind w:left="22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r>
      <w:tr>
        <w:trPr>
          <w:trHeight w:val="216"/>
        </w:trPr>
        <w:tc>
          <w:tcPr>
            <w:tcW w:w="9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EEFF"/>
          </w:tcPr>
          <w:p>
            <w:pPr>
              <w:spacing w:after="0"/>
              <w:rPr>
                <w:sz w:val="18"/>
                <w:szCs w:val="18"/>
                <w:color w:val="auto"/>
              </w:rPr>
            </w:pPr>
          </w:p>
        </w:tc>
      </w:tr>
      <w:tr>
        <w:trPr>
          <w:trHeight w:val="222"/>
        </w:trPr>
        <w:tc>
          <w:tcPr>
            <w:tcW w:w="9340" w:type="dxa"/>
            <w:vAlign w:val="bottom"/>
          </w:tcPr>
          <w:p>
            <w:pPr>
              <w:spacing w:after="0"/>
              <w:rPr>
                <w:sz w:val="20"/>
                <w:szCs w:val="20"/>
                <w:color w:val="auto"/>
              </w:rPr>
            </w:pPr>
            <w:r>
              <w:rPr>
                <w:rFonts w:ascii="Arial" w:cs="Arial" w:eastAsia="Arial" w:hAnsi="Arial"/>
                <w:sz w:val="18"/>
                <w:szCs w:val="18"/>
                <w:color w:val="auto"/>
              </w:rPr>
              <w:t>Results of operations before income taxes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1,828</w:t>
            </w:r>
          </w:p>
        </w:tc>
      </w:tr>
      <w:tr>
        <w:trPr>
          <w:trHeight w:val="217"/>
        </w:trPr>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8"/>
                <w:szCs w:val="18"/>
                <w:color w:val="auto"/>
              </w:rPr>
            </w:pPr>
          </w:p>
        </w:tc>
      </w:tr>
      <w:tr>
        <w:trPr>
          <w:trHeight w:val="222"/>
        </w:trPr>
        <w:tc>
          <w:tcPr>
            <w:tcW w:w="934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1,293</w:t>
            </w:r>
          </w:p>
        </w:tc>
      </w:tr>
      <w:tr>
        <w:trPr>
          <w:trHeight w:val="217"/>
        </w:trPr>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income attributable 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22"/>
        </w:trPr>
        <w:tc>
          <w:tcPr>
            <w:tcW w:w="9340" w:type="dxa"/>
            <w:vAlign w:val="bottom"/>
          </w:tcPr>
          <w:p>
            <w:pPr>
              <w:spacing w:after="0"/>
              <w:rPr>
                <w:sz w:val="20"/>
                <w:szCs w:val="20"/>
                <w:color w:val="auto"/>
              </w:rPr>
            </w:pPr>
            <w:r>
              <w:rPr>
                <w:rFonts w:ascii="Arial" w:cs="Arial" w:eastAsia="Arial" w:hAnsi="Arial"/>
                <w:sz w:val="18"/>
                <w:szCs w:val="18"/>
                <w:color w:val="auto"/>
              </w:rPr>
              <w:t>Net income attributable to Hess Corporation</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r>
      <w:tr>
        <w:trPr>
          <w:trHeight w:val="20"/>
        </w:trPr>
        <w:tc>
          <w:tcPr>
            <w:tcW w:w="9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40" w:firstLine="223"/>
        <w:spacing w:after="0" w:line="259" w:lineRule="auto"/>
        <w:rPr>
          <w:sz w:val="20"/>
          <w:szCs w:val="20"/>
          <w:color w:val="auto"/>
        </w:rPr>
      </w:pPr>
      <w:r>
        <w:rPr>
          <w:rFonts w:ascii="Arial" w:cs="Arial" w:eastAsia="Arial" w:hAnsi="Arial"/>
          <w:sz w:val="18"/>
          <w:szCs w:val="18"/>
          <w:color w:val="auto"/>
        </w:rPr>
        <w:t>Excluding the E&amp;P items affecting comparability of earnings between periods in the table on page 30, the changes in E&amp;P earnings are primarily attributable to the asset sales, changes in selling prices, production and sales volumes, cost of products sold, cash operating costs, depreciation, depletion and amortization, exploration expenses and income taxes, as described below.</w:t>
      </w:r>
    </w:p>
    <w:p>
      <w:pPr>
        <w:spacing w:after="0" w:line="140" w:lineRule="exact"/>
        <w:rPr>
          <w:sz w:val="20"/>
          <w:szCs w:val="20"/>
          <w:color w:val="auto"/>
        </w:rPr>
      </w:pPr>
    </w:p>
    <w:p>
      <w:pPr>
        <w:jc w:val="both"/>
        <w:ind w:left="240" w:firstLine="223"/>
        <w:spacing w:after="0" w:line="332" w:lineRule="auto"/>
        <w:rPr>
          <w:sz w:val="20"/>
          <w:szCs w:val="20"/>
          <w:color w:val="auto"/>
        </w:rPr>
      </w:pPr>
      <w:r>
        <w:rPr>
          <w:rFonts w:ascii="Arial" w:cs="Arial" w:eastAsia="Arial" w:hAnsi="Arial"/>
          <w:sz w:val="16"/>
          <w:szCs w:val="16"/>
          <w:b w:val="1"/>
          <w:bCs w:val="1"/>
          <w:i w:val="1"/>
          <w:iCs w:val="1"/>
          <w:color w:val="auto"/>
        </w:rPr>
        <w:t xml:space="preserve">Selling Prices: </w:t>
      </w:r>
      <w:r>
        <w:rPr>
          <w:rFonts w:ascii="Arial" w:cs="Arial" w:eastAsia="Arial" w:hAnsi="Arial"/>
          <w:sz w:val="16"/>
          <w:szCs w:val="16"/>
          <w:color w:val="auto"/>
        </w:rPr>
        <w:t>Average realized crude oil selling prices were 5% higher in the first quarter of 2014, compared to 2013 due to a combination of the second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 2013 sale of the Corporation’s subsidiary in Russia, which realized significantly lower crude oil prices, and improved hedging results.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Results of Operations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Corporation’s average selling prices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96"/>
              </w:rPr>
              <w:t>2013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Crude oil — per barrel (including hedging)</w:t>
            </w:r>
          </w:p>
        </w:tc>
        <w:tc>
          <w:tcPr>
            <w:tcW w:w="3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Onshore</w:t>
            </w:r>
          </w:p>
        </w:tc>
        <w:tc>
          <w:tcPr>
            <w:tcW w:w="3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Offshore</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United States</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97.03</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Europe</w:t>
            </w:r>
          </w:p>
        </w:tc>
        <w:tc>
          <w:tcPr>
            <w:tcW w:w="3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109.17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Africa</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Asia</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102.29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Worldwide</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94.50</w:t>
            </w:r>
          </w:p>
        </w:tc>
        <w:tc>
          <w:tcPr>
            <w:tcW w:w="0" w:type="dxa"/>
            <w:vAlign w:val="bottom"/>
          </w:tcPr>
          <w:p>
            <w:pPr>
              <w:spacing w:after="0"/>
              <w:rPr>
                <w:sz w:val="1"/>
                <w:szCs w:val="1"/>
                <w:color w:val="auto"/>
              </w:rPr>
            </w:pPr>
          </w:p>
        </w:tc>
      </w:tr>
      <w:tr>
        <w:trPr>
          <w:trHeight w:val="323"/>
        </w:trPr>
        <w:tc>
          <w:tcPr>
            <w:tcW w:w="6240" w:type="dxa"/>
            <w:vAlign w:val="bottom"/>
            <w:gridSpan w:val="2"/>
          </w:tcPr>
          <w:p>
            <w:pPr>
              <w:spacing w:after="0"/>
              <w:rPr>
                <w:sz w:val="20"/>
                <w:szCs w:val="20"/>
                <w:color w:val="auto"/>
              </w:rPr>
            </w:pPr>
            <w:r>
              <w:rPr>
                <w:rFonts w:ascii="Arial" w:cs="Arial" w:eastAsia="Arial" w:hAnsi="Arial"/>
                <w:sz w:val="18"/>
                <w:szCs w:val="18"/>
                <w:color w:val="auto"/>
              </w:rPr>
              <w:t>Crude oil — per barrel (excluding hedging)</w:t>
            </w:r>
          </w:p>
        </w:tc>
        <w:tc>
          <w:tcPr>
            <w:tcW w:w="3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Onshore</w:t>
            </w:r>
          </w:p>
        </w:tc>
        <w:tc>
          <w:tcPr>
            <w:tcW w:w="3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88.04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Offshore</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Total United States</w:t>
            </w: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92.94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Europe</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Africa</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ind w:left="640"/>
              <w:spacing w:after="0"/>
              <w:rPr>
                <w:sz w:val="20"/>
                <w:szCs w:val="20"/>
                <w:color w:val="auto"/>
              </w:rPr>
            </w:pPr>
            <w:r>
              <w:rPr>
                <w:rFonts w:ascii="Arial" w:cs="Arial" w:eastAsia="Arial" w:hAnsi="Arial"/>
                <w:sz w:val="18"/>
                <w:szCs w:val="18"/>
                <w:color w:val="auto"/>
              </w:rPr>
              <w:t>Worldwide</w:t>
            </w: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95.24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Natural gas liquids — per barrel</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Onshore</w:t>
            </w:r>
          </w:p>
        </w:tc>
        <w:tc>
          <w:tcPr>
            <w:tcW w:w="3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Offshore</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United States</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Europe</w:t>
            </w:r>
          </w:p>
        </w:tc>
        <w:tc>
          <w:tcPr>
            <w:tcW w:w="3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63.83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ind w:left="640"/>
              <w:spacing w:after="0"/>
              <w:rPr>
                <w:sz w:val="20"/>
                <w:szCs w:val="20"/>
                <w:color w:val="auto"/>
              </w:rPr>
            </w:pPr>
            <w:r>
              <w:rPr>
                <w:rFonts w:ascii="Arial" w:cs="Arial" w:eastAsia="Arial" w:hAnsi="Arial"/>
                <w:sz w:val="18"/>
                <w:szCs w:val="18"/>
                <w:color w:val="auto"/>
              </w:rPr>
              <w:t>Worldwide</w:t>
            </w: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Natural gas — per mcf</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Onshore</w:t>
            </w:r>
          </w:p>
        </w:tc>
        <w:tc>
          <w:tcPr>
            <w:tcW w:w="3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Offshore</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United States</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Europe</w:t>
            </w:r>
          </w:p>
        </w:tc>
        <w:tc>
          <w:tcPr>
            <w:tcW w:w="3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 and other</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ind w:left="640"/>
              <w:spacing w:after="0"/>
              <w:rPr>
                <w:sz w:val="20"/>
                <w:szCs w:val="20"/>
                <w:color w:val="auto"/>
              </w:rPr>
            </w:pPr>
            <w:r>
              <w:rPr>
                <w:rFonts w:ascii="Arial" w:cs="Arial" w:eastAsia="Arial" w:hAnsi="Arial"/>
                <w:sz w:val="18"/>
                <w:szCs w:val="18"/>
                <w:color w:val="auto"/>
              </w:rPr>
              <w:t>Worldwide</w:t>
            </w: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240" w:firstLine="223"/>
        <w:spacing w:after="0" w:line="256" w:lineRule="auto"/>
        <w:rPr>
          <w:sz w:val="20"/>
          <w:szCs w:val="20"/>
          <w:color w:val="auto"/>
        </w:rPr>
      </w:pPr>
      <w:r>
        <w:rPr>
          <w:rFonts w:ascii="Arial" w:cs="Arial" w:eastAsia="Arial" w:hAnsi="Arial"/>
          <w:sz w:val="18"/>
          <w:szCs w:val="18"/>
          <w:color w:val="auto"/>
        </w:rPr>
        <w:t>In the fourth quarter of 2013, the Corporation entered into Brent crude oil fixed-price swap contracts to hedge 25,000 barrels of oil per day (bopd) for calendar year 2014 and, in the first quarter of 2014, an additional 5,000 bopd for the remainder of 2014, were hedged. These hedges are at an average price of $109.11 per barrel. In 2013, the Corporation had Brent crude oil fixed-price swap contracts to hedge 90,000 bopd of crude oil sales volumes at an average price of approximately $109.70 per barrel.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Results of Operations (continued)</w:t>
      </w:r>
    </w:p>
    <w:p>
      <w:pPr>
        <w:spacing w:after="0" w:line="164" w:lineRule="exact"/>
        <w:rPr>
          <w:sz w:val="20"/>
          <w:szCs w:val="20"/>
          <w:color w:val="auto"/>
        </w:rPr>
      </w:pPr>
    </w:p>
    <w:p>
      <w:pPr>
        <w:jc w:val="both"/>
        <w:ind w:left="240" w:firstLine="223"/>
        <w:spacing w:after="0" w:line="259" w:lineRule="auto"/>
        <w:rPr>
          <w:sz w:val="20"/>
          <w:szCs w:val="20"/>
          <w:color w:val="auto"/>
        </w:rPr>
      </w:pPr>
      <w:r>
        <w:rPr>
          <w:rFonts w:ascii="Arial" w:cs="Arial" w:eastAsia="Arial" w:hAnsi="Arial"/>
          <w:sz w:val="18"/>
          <w:szCs w:val="18"/>
          <w:color w:val="auto"/>
        </w:rPr>
        <w:t>Crude oil price hedging contracts increased E&amp;P Sales and other operating revenues by $3 million ($2 million after income taxes) for the three months ended March 31, 2014, and reduced E&amp;P Sales and other operating revenues by $18 million ($11 million after income taxes) for the three months ended March 31, 2013.</w:t>
      </w:r>
    </w:p>
    <w:p>
      <w:pPr>
        <w:spacing w:after="0" w:line="140" w:lineRule="exact"/>
        <w:rPr>
          <w:sz w:val="20"/>
          <w:szCs w:val="20"/>
          <w:color w:val="auto"/>
        </w:rPr>
      </w:pPr>
    </w:p>
    <w:p>
      <w:pPr>
        <w:jc w:val="both"/>
        <w:ind w:left="240" w:firstLine="223"/>
        <w:spacing w:after="0" w:line="259" w:lineRule="auto"/>
        <w:rPr>
          <w:sz w:val="20"/>
          <w:szCs w:val="20"/>
          <w:color w:val="auto"/>
        </w:rPr>
      </w:pPr>
      <w:r>
        <w:rPr>
          <w:rFonts w:ascii="Arial" w:cs="Arial" w:eastAsia="Arial" w:hAnsi="Arial"/>
          <w:sz w:val="18"/>
          <w:szCs w:val="18"/>
          <w:b w:val="1"/>
          <w:bCs w:val="1"/>
          <w:i w:val="1"/>
          <w:iCs w:val="1"/>
          <w:color w:val="auto"/>
        </w:rPr>
        <w:t xml:space="preserve">Production Volumes: </w:t>
      </w:r>
      <w:r>
        <w:rPr>
          <w:rFonts w:ascii="Arial" w:cs="Arial" w:eastAsia="Arial" w:hAnsi="Arial"/>
          <w:sz w:val="18"/>
          <w:szCs w:val="18"/>
          <w:color w:val="auto"/>
        </w:rPr>
        <w:t>The Corporation’s crude oil and natural gas production was 318,000 boepd in the first quarter of 2014, compared with 389,000 boepd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same period in 2013. Pro forma production, excluding assets sold and classified as held for sale at March 31, 2014, as well as any contribution from Libya, was 297,000 boepd for the first quarter of 2014 and 268,000 boepd for the first quarter of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Corporation’s net daily worldwide production by region was as follows:</w:t>
      </w:r>
    </w:p>
    <w:p>
      <w:pPr>
        <w:spacing w:after="0" w:line="248" w:lineRule="exact"/>
        <w:rPr>
          <w:sz w:val="20"/>
          <w:szCs w:val="20"/>
          <w:color w:val="auto"/>
        </w:rPr>
      </w:pPr>
    </w:p>
    <w:p>
      <w:pPr>
        <w:jc w:val="center"/>
        <w:ind w:left="9360"/>
        <w:spacing w:after="0"/>
        <w:rPr>
          <w:sz w:val="20"/>
          <w:szCs w:val="20"/>
          <w:color w:val="auto"/>
        </w:rPr>
      </w:pPr>
      <w:r>
        <w:rPr>
          <w:rFonts w:ascii="Arial" w:cs="Arial" w:eastAsia="Arial" w:hAnsi="Arial"/>
          <w:sz w:val="14"/>
          <w:szCs w:val="14"/>
          <w:b w:val="1"/>
          <w:bCs w:val="1"/>
          <w:color w:val="auto"/>
        </w:rPr>
        <w:t>Three Months Ended</w:t>
      </w:r>
    </w:p>
    <w:p>
      <w:pPr>
        <w:jc w:val="center"/>
        <w:ind w:left="9360"/>
        <w:spacing w:after="0" w:line="221"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440" w:type="dxa"/>
            <w:vAlign w:val="bottom"/>
            <w:gridSpan w:val="3"/>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4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6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380" w:type="dxa"/>
            <w:vAlign w:val="bottom"/>
          </w:tcPr>
          <w:p>
            <w:pPr>
              <w:spacing w:after="0"/>
              <w:rPr>
                <w:sz w:val="7"/>
                <w:szCs w:val="7"/>
                <w:color w:val="auto"/>
              </w:rPr>
            </w:pPr>
          </w:p>
        </w:tc>
        <w:tc>
          <w:tcPr>
            <w:tcW w:w="7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Crude oil — barrels per day</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tcPr>
          <w:p>
            <w:pPr>
              <w:ind w:left="20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Bakken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2"/>
          </w:tcPr>
          <w:p>
            <w:pPr>
              <w:ind w:left="420"/>
              <w:spacing w:after="0"/>
              <w:rPr>
                <w:sz w:val="20"/>
                <w:szCs w:val="20"/>
                <w:color w:val="auto"/>
              </w:rPr>
            </w:pPr>
            <w:r>
              <w:rPr>
                <w:rFonts w:ascii="Arial" w:cs="Arial" w:eastAsia="Arial" w:hAnsi="Arial"/>
                <w:sz w:val="18"/>
                <w:szCs w:val="18"/>
                <w:color w:val="auto"/>
              </w:rPr>
              <w:t>Other Onshore</w:t>
            </w: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Total Onshore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2"/>
          </w:tcPr>
          <w:p>
            <w:pPr>
              <w:ind w:left="420"/>
              <w:spacing w:after="0"/>
              <w:rPr>
                <w:sz w:val="20"/>
                <w:szCs w:val="20"/>
                <w:color w:val="auto"/>
              </w:rPr>
            </w:pPr>
            <w:r>
              <w:rPr>
                <w:rFonts w:ascii="Arial" w:cs="Arial" w:eastAsia="Arial" w:hAnsi="Arial"/>
                <w:sz w:val="18"/>
                <w:szCs w:val="18"/>
                <w:color w:val="auto"/>
              </w:rPr>
              <w:t>Offshore</w:t>
            </w: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United States</w:t>
            </w:r>
          </w:p>
        </w:tc>
        <w:tc>
          <w:tcPr>
            <w:tcW w:w="5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118</w:t>
            </w: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0" w:type="dxa"/>
            <w:vAlign w:val="bottom"/>
            <w:gridSpan w:val="3"/>
          </w:tcPr>
          <w:p>
            <w:pPr>
              <w:ind w:left="200"/>
              <w:spacing w:after="0"/>
              <w:rPr>
                <w:sz w:val="20"/>
                <w:szCs w:val="20"/>
                <w:color w:val="auto"/>
              </w:rPr>
            </w:pPr>
            <w:r>
              <w:rPr>
                <w:rFonts w:ascii="Arial" w:cs="Arial" w:eastAsia="Arial" w:hAnsi="Arial"/>
                <w:sz w:val="18"/>
                <w:szCs w:val="18"/>
                <w:color w:val="auto"/>
              </w:rPr>
              <w:t>Europe</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Africa</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2"/>
          </w:tcPr>
          <w:p>
            <w:pPr>
              <w:ind w:left="200"/>
              <w:spacing w:after="0"/>
              <w:rPr>
                <w:sz w:val="20"/>
                <w:szCs w:val="20"/>
                <w:color w:val="auto"/>
              </w:rPr>
            </w:pPr>
            <w:r>
              <w:rPr>
                <w:rFonts w:ascii="Arial" w:cs="Arial" w:eastAsia="Arial" w:hAnsi="Arial"/>
                <w:sz w:val="18"/>
                <w:szCs w:val="18"/>
                <w:color w:val="auto"/>
              </w:rPr>
              <w:t>Asia</w:t>
            </w: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210</w:t>
            </w: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0020" w:type="dxa"/>
            <w:vAlign w:val="bottom"/>
            <w:gridSpan w:val="4"/>
          </w:tcPr>
          <w:p>
            <w:pPr>
              <w:spacing w:after="0"/>
              <w:rPr>
                <w:sz w:val="20"/>
                <w:szCs w:val="20"/>
                <w:color w:val="auto"/>
              </w:rPr>
            </w:pPr>
            <w:r>
              <w:rPr>
                <w:rFonts w:ascii="Arial" w:cs="Arial" w:eastAsia="Arial" w:hAnsi="Arial"/>
                <w:sz w:val="18"/>
                <w:szCs w:val="18"/>
                <w:color w:val="auto"/>
              </w:rPr>
              <w:t>Natural gas liquids — barrels per day</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rPr>
              <w:t>Bakken</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Onshore</w:t>
            </w:r>
          </w:p>
        </w:tc>
        <w:tc>
          <w:tcPr>
            <w:tcW w:w="5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0" w:type="dxa"/>
            <w:vAlign w:val="bottom"/>
            <w:gridSpan w:val="3"/>
          </w:tcPr>
          <w:p>
            <w:pPr>
              <w:ind w:left="640"/>
              <w:spacing w:after="0"/>
              <w:rPr>
                <w:sz w:val="20"/>
                <w:szCs w:val="20"/>
                <w:color w:val="auto"/>
              </w:rPr>
            </w:pPr>
            <w:r>
              <w:rPr>
                <w:rFonts w:ascii="Arial" w:cs="Arial" w:eastAsia="Arial" w:hAnsi="Arial"/>
                <w:sz w:val="18"/>
                <w:szCs w:val="18"/>
                <w:color w:val="auto"/>
              </w:rPr>
              <w:t>Total Onshore</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Offshore</w:t>
            </w:r>
          </w:p>
        </w:tc>
        <w:tc>
          <w:tcPr>
            <w:tcW w:w="5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gridSpan w:val="2"/>
          </w:tcPr>
          <w:p>
            <w:pPr>
              <w:ind w:left="200"/>
              <w:spacing w:after="0"/>
              <w:rPr>
                <w:sz w:val="20"/>
                <w:szCs w:val="20"/>
                <w:color w:val="auto"/>
              </w:rPr>
            </w:pPr>
            <w:r>
              <w:rPr>
                <w:rFonts w:ascii="Arial" w:cs="Arial" w:eastAsia="Arial" w:hAnsi="Arial"/>
                <w:sz w:val="18"/>
                <w:szCs w:val="18"/>
                <w:color w:val="auto"/>
              </w:rPr>
              <w:t>Total United States</w:t>
            </w: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2"/>
          </w:tcPr>
          <w:p>
            <w:pPr>
              <w:ind w:left="200"/>
              <w:spacing w:after="0"/>
              <w:rPr>
                <w:sz w:val="20"/>
                <w:szCs w:val="20"/>
                <w:color w:val="auto"/>
              </w:rPr>
            </w:pPr>
            <w:r>
              <w:rPr>
                <w:rFonts w:ascii="Arial" w:cs="Arial" w:eastAsia="Arial" w:hAnsi="Arial"/>
                <w:sz w:val="18"/>
                <w:szCs w:val="18"/>
                <w:color w:val="auto"/>
              </w:rPr>
              <w:t>Asia</w:t>
            </w:r>
          </w:p>
        </w:tc>
        <w:tc>
          <w:tcPr>
            <w:tcW w:w="580" w:type="dxa"/>
            <w:vAlign w:val="bottom"/>
          </w:tcPr>
          <w:p>
            <w:pPr>
              <w:spacing w:after="0"/>
              <w:rPr>
                <w:sz w:val="19"/>
                <w:szCs w:val="19"/>
                <w:color w:val="auto"/>
              </w:rPr>
            </w:pPr>
          </w:p>
        </w:tc>
        <w:tc>
          <w:tcPr>
            <w:tcW w:w="10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0020" w:type="dxa"/>
            <w:vAlign w:val="bottom"/>
            <w:gridSpan w:val="4"/>
          </w:tcPr>
          <w:p>
            <w:pPr>
              <w:spacing w:after="0"/>
              <w:rPr>
                <w:sz w:val="20"/>
                <w:szCs w:val="20"/>
                <w:color w:val="auto"/>
              </w:rPr>
            </w:pPr>
            <w:r>
              <w:rPr>
                <w:rFonts w:ascii="Arial" w:cs="Arial" w:eastAsia="Arial" w:hAnsi="Arial"/>
                <w:sz w:val="18"/>
                <w:szCs w:val="18"/>
                <w:color w:val="auto"/>
              </w:rPr>
              <w:t>Natural gas — mcf per day</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rPr>
              <w:t>Bakken</w:t>
            </w: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Onshore</w:t>
            </w:r>
          </w:p>
        </w:tc>
        <w:tc>
          <w:tcPr>
            <w:tcW w:w="5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0" w:type="dxa"/>
            <w:vAlign w:val="bottom"/>
            <w:gridSpan w:val="3"/>
          </w:tcPr>
          <w:p>
            <w:pPr>
              <w:ind w:left="640"/>
              <w:spacing w:after="0"/>
              <w:rPr>
                <w:sz w:val="20"/>
                <w:szCs w:val="20"/>
                <w:color w:val="auto"/>
              </w:rPr>
            </w:pPr>
            <w:r>
              <w:rPr>
                <w:rFonts w:ascii="Arial" w:cs="Arial" w:eastAsia="Arial" w:hAnsi="Arial"/>
                <w:sz w:val="18"/>
                <w:szCs w:val="18"/>
                <w:color w:val="auto"/>
              </w:rPr>
              <w:t>Total Onshore</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Offshore</w:t>
            </w:r>
          </w:p>
        </w:tc>
        <w:tc>
          <w:tcPr>
            <w:tcW w:w="5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gridSpan w:val="2"/>
          </w:tcPr>
          <w:p>
            <w:pPr>
              <w:ind w:left="200"/>
              <w:spacing w:after="0"/>
              <w:rPr>
                <w:sz w:val="20"/>
                <w:szCs w:val="20"/>
                <w:color w:val="auto"/>
              </w:rPr>
            </w:pPr>
            <w:r>
              <w:rPr>
                <w:rFonts w:ascii="Arial" w:cs="Arial" w:eastAsia="Arial" w:hAnsi="Arial"/>
                <w:sz w:val="18"/>
                <w:szCs w:val="18"/>
                <w:color w:val="auto"/>
              </w:rPr>
              <w:t>Total United States</w:t>
            </w: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119</w:t>
            </w:r>
          </w:p>
        </w:tc>
        <w:tc>
          <w:tcPr>
            <w:tcW w:w="2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2"/>
          </w:tcPr>
          <w:p>
            <w:pPr>
              <w:ind w:left="200"/>
              <w:spacing w:after="0"/>
              <w:rPr>
                <w:sz w:val="20"/>
                <w:szCs w:val="20"/>
                <w:color w:val="auto"/>
              </w:rPr>
            </w:pPr>
            <w:r>
              <w:rPr>
                <w:rFonts w:ascii="Arial" w:cs="Arial" w:eastAsia="Arial" w:hAnsi="Arial"/>
                <w:sz w:val="18"/>
                <w:szCs w:val="18"/>
                <w:color w:val="auto"/>
              </w:rPr>
              <w:t>Asia and other</w:t>
            </w: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415</w:t>
            </w:r>
          </w:p>
        </w:tc>
        <w:tc>
          <w:tcPr>
            <w:tcW w:w="2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571</w:t>
            </w: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0000" w:type="dxa"/>
            <w:vAlign w:val="bottom"/>
            <w:gridSpan w:val="3"/>
          </w:tcPr>
          <w:p>
            <w:pPr>
              <w:ind w:left="200"/>
              <w:spacing w:after="0"/>
              <w:rPr>
                <w:sz w:val="20"/>
                <w:szCs w:val="20"/>
                <w:color w:val="auto"/>
              </w:rPr>
            </w:pPr>
            <w:r>
              <w:rPr>
                <w:rFonts w:ascii="Arial" w:cs="Arial" w:eastAsia="Arial" w:hAnsi="Arial"/>
                <w:sz w:val="18"/>
                <w:szCs w:val="18"/>
                <w:color w:val="auto"/>
              </w:rPr>
              <w:t>Barrels of oil equivalent per day*</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318</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7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jc w:val="both"/>
        <w:ind w:left="340" w:hanging="332"/>
        <w:spacing w:after="0" w:line="233"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i w:val="1"/>
          <w:iCs w:val="1"/>
          <w:color w:val="auto"/>
        </w:rPr>
        <w:t>Reflects natural gas production converted on the basis of relative energy content (six mcf equals one barrel). Barrel of oil equivalence does not necessarily result in price equivalence as the equivalent price of natural gas on a barrel of oil equivalent basis has been substantially lower than the corresponding price for crude oil over the recent past. In addition, natural gas liquids do not sell at prices equivalent to crude oil. See the average selling prices in the table on page 27.</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Results of Operations (continued)</w:t>
      </w:r>
    </w:p>
    <w:p>
      <w:pPr>
        <w:spacing w:after="0" w:line="164" w:lineRule="exact"/>
        <w:rPr>
          <w:sz w:val="20"/>
          <w:szCs w:val="20"/>
          <w:color w:val="auto"/>
        </w:rPr>
      </w:pPr>
    </w:p>
    <w:p>
      <w:pPr>
        <w:jc w:val="both"/>
        <w:ind w:left="240" w:firstLine="447"/>
        <w:spacing w:after="0" w:line="254" w:lineRule="auto"/>
        <w:rPr>
          <w:sz w:val="20"/>
          <w:szCs w:val="20"/>
          <w:color w:val="auto"/>
        </w:rPr>
      </w:pPr>
      <w:r>
        <w:rPr>
          <w:rFonts w:ascii="Arial" w:cs="Arial" w:eastAsia="Arial" w:hAnsi="Arial"/>
          <w:sz w:val="18"/>
          <w:szCs w:val="18"/>
          <w:b w:val="1"/>
          <w:bCs w:val="1"/>
          <w:i w:val="1"/>
          <w:iCs w:val="1"/>
          <w:color w:val="auto"/>
        </w:rPr>
        <w:t xml:space="preserve">United States: </w:t>
      </w:r>
      <w:r>
        <w:rPr>
          <w:rFonts w:ascii="Arial" w:cs="Arial" w:eastAsia="Arial" w:hAnsi="Arial"/>
          <w:sz w:val="18"/>
          <w:szCs w:val="18"/>
          <w:color w:val="auto"/>
        </w:rPr>
        <w:t>Crude oil production was higher in the first quarter of 2014, compared to the corresponding period in 2013, as a result of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from the Bakken oil shale play due to new wells and lower downtime at the Llano Field. Natural gas liquids and natural gas production in the United States was lower in the first quarter of 2014, compared to the corresponding period in 2013, mainly due to lower production from the Bakken caused by a shutdown at the Tioga gas plant to complete an expansion project, partially offset by higher production from the Utica shale. Crude oil and natural gas production was also impacted due to the sale of the Corporation’s interest in the Eagle Ford shale in May 2013 which was producing at the rate of 5,000 boepd at the time of sale.</w:t>
      </w:r>
    </w:p>
    <w:p>
      <w:pPr>
        <w:spacing w:after="0" w:line="144" w:lineRule="exact"/>
        <w:rPr>
          <w:sz w:val="20"/>
          <w:szCs w:val="20"/>
          <w:color w:val="auto"/>
        </w:rPr>
      </w:pPr>
    </w:p>
    <w:p>
      <w:pPr>
        <w:jc w:val="both"/>
        <w:ind w:left="240" w:firstLine="447"/>
        <w:spacing w:after="0" w:line="259" w:lineRule="auto"/>
        <w:rPr>
          <w:sz w:val="20"/>
          <w:szCs w:val="20"/>
          <w:color w:val="auto"/>
        </w:rPr>
      </w:pPr>
      <w:r>
        <w:rPr>
          <w:rFonts w:ascii="Arial" w:cs="Arial" w:eastAsia="Arial" w:hAnsi="Arial"/>
          <w:sz w:val="18"/>
          <w:szCs w:val="18"/>
          <w:b w:val="1"/>
          <w:bCs w:val="1"/>
          <w:i w:val="1"/>
          <w:iCs w:val="1"/>
          <w:color w:val="auto"/>
        </w:rPr>
        <w:t xml:space="preserve">Europe: </w:t>
      </w:r>
      <w:r>
        <w:rPr>
          <w:rFonts w:ascii="Arial" w:cs="Arial" w:eastAsia="Arial" w:hAnsi="Arial"/>
          <w:sz w:val="18"/>
          <w:szCs w:val="18"/>
          <w:color w:val="auto"/>
        </w:rPr>
        <w:t>Production was lower in the first quarter of 2014 compared to the same period in 2013, primarily due to the April 2013 sale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Corporation’s Russian subsidiary, which was producing at an aggregate rate of approximately 50,000 boepd at the time of sale, partly offset by higher production from the Valhall Field following completion of a redevelopment project.</w:t>
      </w:r>
    </w:p>
    <w:p>
      <w:pPr>
        <w:spacing w:after="0" w:line="140" w:lineRule="exact"/>
        <w:rPr>
          <w:sz w:val="20"/>
          <w:szCs w:val="20"/>
          <w:color w:val="auto"/>
        </w:rPr>
      </w:pPr>
    </w:p>
    <w:p>
      <w:pPr>
        <w:jc w:val="both"/>
        <w:ind w:left="240" w:firstLine="447"/>
        <w:spacing w:after="0" w:line="259" w:lineRule="auto"/>
        <w:rPr>
          <w:sz w:val="20"/>
          <w:szCs w:val="20"/>
          <w:color w:val="auto"/>
        </w:rPr>
      </w:pPr>
      <w:r>
        <w:rPr>
          <w:rFonts w:ascii="Arial" w:cs="Arial" w:eastAsia="Arial" w:hAnsi="Arial"/>
          <w:sz w:val="18"/>
          <w:szCs w:val="18"/>
          <w:b w:val="1"/>
          <w:bCs w:val="1"/>
          <w:i w:val="1"/>
          <w:iCs w:val="1"/>
          <w:color w:val="auto"/>
        </w:rPr>
        <w:t xml:space="preserve">Africa: </w:t>
      </w:r>
      <w:r>
        <w:rPr>
          <w:rFonts w:ascii="Arial" w:cs="Arial" w:eastAsia="Arial" w:hAnsi="Arial"/>
          <w:sz w:val="18"/>
          <w:szCs w:val="18"/>
          <w:color w:val="auto"/>
        </w:rPr>
        <w:t>Crude oil production in Africa was lower in the first quarter of 2014 compared to the corresponding period in 2013, primarily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shutdown of the Es Sider terminal in Libya in the third quarter of 2013, following civil unrest in the country, together with lower production from Equatorial Guinea, primarily due to natural field decline. Libyan production was 24,000 boepd in the first quarter of 2013.</w:t>
      </w:r>
    </w:p>
    <w:p>
      <w:pPr>
        <w:spacing w:after="0" w:line="140" w:lineRule="exact"/>
        <w:rPr>
          <w:sz w:val="20"/>
          <w:szCs w:val="20"/>
          <w:color w:val="auto"/>
        </w:rPr>
      </w:pPr>
    </w:p>
    <w:p>
      <w:pPr>
        <w:jc w:val="both"/>
        <w:ind w:left="240" w:firstLine="447"/>
        <w:spacing w:after="0" w:line="253" w:lineRule="auto"/>
        <w:rPr>
          <w:sz w:val="20"/>
          <w:szCs w:val="20"/>
          <w:color w:val="auto"/>
        </w:rPr>
      </w:pPr>
      <w:r>
        <w:rPr>
          <w:rFonts w:ascii="Arial" w:cs="Arial" w:eastAsia="Arial" w:hAnsi="Arial"/>
          <w:sz w:val="18"/>
          <w:szCs w:val="18"/>
          <w:b w:val="1"/>
          <w:bCs w:val="1"/>
          <w:i w:val="1"/>
          <w:iCs w:val="1"/>
          <w:color w:val="auto"/>
        </w:rPr>
        <w:t xml:space="preserve">Asia and Other: </w:t>
      </w:r>
      <w:r>
        <w:rPr>
          <w:rFonts w:ascii="Arial" w:cs="Arial" w:eastAsia="Arial" w:hAnsi="Arial"/>
          <w:sz w:val="18"/>
          <w:szCs w:val="18"/>
          <w:color w:val="auto"/>
        </w:rPr>
        <w:t>Crude oil and natural gas production was lower in the first quarter of 2014 compared to the same period in 2013, mainly due to asset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In December 2013, the Corporation sold its interest in the Natuna A Field, offshore Indonesia, which was producing at the rate of 5,500 boepd at the time of sale and, in January 2014, sold its interest in the Pangkah asset, offshore Indonesia, which was producing at the rate of 10,000 boepd at the time of sale. In March 2013, the Corporation also sold its interests in the Azeri-Chirag-Guneshli (ACG) fields in Azerbaijan, which were producing at the rate of 6,000 boepd at the time of sale. Natural gas production was also lower in the first quarter of 2014 due to lower production entitlement at the Joint Development Area of Malaysia/Thailand, partly offset by higher production at the North Malay Basin, which commenced production in the fourth quarter of 2013.</w:t>
      </w:r>
    </w:p>
    <w:p>
      <w:pPr>
        <w:spacing w:after="0" w:line="147" w:lineRule="exact"/>
        <w:rPr>
          <w:sz w:val="20"/>
          <w:szCs w:val="20"/>
          <w:color w:val="auto"/>
        </w:rPr>
      </w:pPr>
    </w:p>
    <w:p>
      <w:pPr>
        <w:jc w:val="both"/>
        <w:ind w:left="240" w:firstLine="223"/>
        <w:spacing w:after="0" w:line="268" w:lineRule="auto"/>
        <w:rPr>
          <w:sz w:val="20"/>
          <w:szCs w:val="20"/>
          <w:color w:val="auto"/>
        </w:rPr>
      </w:pPr>
      <w:r>
        <w:rPr>
          <w:rFonts w:ascii="Arial" w:cs="Arial" w:eastAsia="Arial" w:hAnsi="Arial"/>
          <w:sz w:val="18"/>
          <w:szCs w:val="18"/>
          <w:b w:val="1"/>
          <w:bCs w:val="1"/>
          <w:i w:val="1"/>
          <w:iCs w:val="1"/>
          <w:color w:val="auto"/>
        </w:rPr>
        <w:t xml:space="preserve">Sales Volumes: </w:t>
      </w:r>
      <w:r>
        <w:rPr>
          <w:rFonts w:ascii="Arial" w:cs="Arial" w:eastAsia="Arial" w:hAnsi="Arial"/>
          <w:sz w:val="18"/>
          <w:szCs w:val="18"/>
          <w:color w:val="auto"/>
        </w:rPr>
        <w:t>Lower crude oil sales volumes as a result of asset sales decreased revenues in the first quarter of 2014, compared with the corresponding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2013.</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Corporation’s worldwide sales volumes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9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4"/>
                <w:szCs w:val="14"/>
                <w:b w:val="1"/>
                <w:bCs w:val="1"/>
                <w:color w:val="auto"/>
                <w:w w:val="89"/>
              </w:rPr>
              <w:t>March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84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89"/>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8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oil — barrels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Natural gas liquids — barrels</w:t>
            </w:r>
          </w:p>
        </w:tc>
        <w:tc>
          <w:tcPr>
            <w:tcW w:w="840" w:type="dxa"/>
            <w:vAlign w:val="bottom"/>
          </w:tcPr>
          <w:p>
            <w:pPr>
              <w:jc w:val="right"/>
              <w:spacing w:after="0"/>
              <w:rPr>
                <w:sz w:val="20"/>
                <w:szCs w:val="20"/>
                <w:color w:val="auto"/>
              </w:rPr>
            </w:pPr>
            <w:r>
              <w:rPr>
                <w:rFonts w:ascii="Arial" w:cs="Arial" w:eastAsia="Arial" w:hAnsi="Arial"/>
                <w:sz w:val="18"/>
                <w:szCs w:val="18"/>
                <w:color w:val="auto"/>
              </w:rPr>
              <w:t>1,122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 — mcf</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gridSpan w:val="2"/>
            <w:vMerge w:val="restart"/>
          </w:tcPr>
          <w:p>
            <w:pPr>
              <w:ind w:left="200"/>
              <w:spacing w:after="0"/>
              <w:rPr>
                <w:sz w:val="20"/>
                <w:szCs w:val="20"/>
                <w:color w:val="auto"/>
              </w:rPr>
            </w:pPr>
            <w:r>
              <w:rPr>
                <w:rFonts w:ascii="Arial" w:cs="Arial" w:eastAsia="Arial" w:hAnsi="Arial"/>
                <w:sz w:val="18"/>
                <w:szCs w:val="18"/>
                <w:color w:val="auto"/>
              </w:rPr>
              <w:t>Barrels of oil equivalent*</w:t>
            </w: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gridSpan w:val="2"/>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27,432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35,358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380" w:type="dxa"/>
            <w:vAlign w:val="bottom"/>
          </w:tcPr>
          <w:p>
            <w:pPr>
              <w:spacing w:after="0"/>
              <w:rPr>
                <w:sz w:val="8"/>
                <w:szCs w:val="8"/>
                <w:color w:val="auto"/>
              </w:rPr>
            </w:pPr>
          </w:p>
        </w:tc>
        <w:tc>
          <w:tcPr>
            <w:tcW w:w="7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oil — barrels per day</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Natural gas liquids — barrels per day</w:t>
            </w: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 — mcf per day</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gridSpan w:val="2"/>
            <w:vMerge w:val="restart"/>
          </w:tcPr>
          <w:p>
            <w:pPr>
              <w:ind w:left="200"/>
              <w:spacing w:after="0"/>
              <w:rPr>
                <w:sz w:val="20"/>
                <w:szCs w:val="20"/>
                <w:color w:val="auto"/>
              </w:rPr>
            </w:pPr>
            <w:r>
              <w:rPr>
                <w:rFonts w:ascii="Arial" w:cs="Arial" w:eastAsia="Arial" w:hAnsi="Arial"/>
                <w:sz w:val="18"/>
                <w:szCs w:val="18"/>
                <w:color w:val="auto"/>
              </w:rPr>
              <w:t>Barrels of oil equivalent per day*</w:t>
            </w: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gridSpan w:val="2"/>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7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jc w:val="both"/>
        <w:ind w:left="340" w:hanging="332"/>
        <w:spacing w:after="0" w:line="233"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i w:val="1"/>
          <w:iCs w:val="1"/>
          <w:color w:val="auto"/>
        </w:rPr>
        <w:t>Reflects natural gas production converted on the basis of relative energy content (six mcf equals one barrel). Barrel of oil equivalence does not necessarily result in price equivalence as the equivalent price of natural gas on a barrel of oil equivalent basis has been substantially lower than the corresponding price for crude oil over the recent past. In addition, natural gas liquids do not sell at prices equivalent to crude oil. See the average selling prices in the table on page 27.</w:t>
      </w:r>
    </w:p>
    <w:p>
      <w:pPr>
        <w:spacing w:after="0" w:line="141" w:lineRule="exact"/>
        <w:rPr>
          <w:sz w:val="20"/>
          <w:szCs w:val="20"/>
          <w:color w:val="auto"/>
        </w:rPr>
      </w:pPr>
    </w:p>
    <w:p>
      <w:pPr>
        <w:jc w:val="both"/>
        <w:ind w:left="240" w:firstLine="223"/>
        <w:spacing w:after="0" w:line="259" w:lineRule="auto"/>
        <w:rPr>
          <w:sz w:val="20"/>
          <w:szCs w:val="20"/>
          <w:color w:val="auto"/>
        </w:rPr>
      </w:pPr>
      <w:r>
        <w:rPr>
          <w:rFonts w:ascii="Arial" w:cs="Arial" w:eastAsia="Arial" w:hAnsi="Arial"/>
          <w:sz w:val="18"/>
          <w:szCs w:val="18"/>
          <w:b w:val="1"/>
          <w:bCs w:val="1"/>
          <w:i w:val="1"/>
          <w:iCs w:val="1"/>
          <w:color w:val="auto"/>
        </w:rPr>
        <w:t xml:space="preserve">Cost of Products Sold: </w:t>
      </w:r>
      <w:r>
        <w:rPr>
          <w:rFonts w:ascii="Arial" w:cs="Arial" w:eastAsia="Arial" w:hAnsi="Arial"/>
          <w:sz w:val="18"/>
          <w:szCs w:val="18"/>
          <w:color w:val="auto"/>
        </w:rPr>
        <w:t>Cost of products sold is mainly comprised of costs relating to the purchases of crude oil, natural gas liquids and natural gas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Corporation’s partners in Hess operated wells or other third parties. The decrease in Cost of products sold in the first quarter of 2014 compared with the same period in 2013, principally reflects lower volumes of crude oil purchases from third parties.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Results of Operations (continued)</w:t>
      </w:r>
    </w:p>
    <w:p>
      <w:pPr>
        <w:spacing w:after="0" w:line="164" w:lineRule="exact"/>
        <w:rPr>
          <w:sz w:val="20"/>
          <w:szCs w:val="20"/>
          <w:color w:val="auto"/>
        </w:rPr>
      </w:pPr>
    </w:p>
    <w:p>
      <w:pPr>
        <w:jc w:val="both"/>
        <w:ind w:left="240" w:firstLine="223"/>
        <w:spacing w:after="0" w:line="256" w:lineRule="auto"/>
        <w:rPr>
          <w:sz w:val="20"/>
          <w:szCs w:val="20"/>
          <w:color w:val="auto"/>
        </w:rPr>
      </w:pPr>
      <w:r>
        <w:rPr>
          <w:rFonts w:ascii="Arial" w:cs="Arial" w:eastAsia="Arial" w:hAnsi="Arial"/>
          <w:sz w:val="18"/>
          <w:szCs w:val="18"/>
          <w:b w:val="1"/>
          <w:bCs w:val="1"/>
          <w:i w:val="1"/>
          <w:iCs w:val="1"/>
          <w:color w:val="auto"/>
        </w:rPr>
        <w:t xml:space="preserve">Cash Operating Costs: </w:t>
      </w:r>
      <w:r>
        <w:rPr>
          <w:rFonts w:ascii="Arial" w:cs="Arial" w:eastAsia="Arial" w:hAnsi="Arial"/>
          <w:sz w:val="18"/>
          <w:szCs w:val="18"/>
          <w:color w:val="auto"/>
        </w:rPr>
        <w:t>Cash operating costs, consisting of Operating costs and expenses, Production and severance taxes and E&amp;P General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expenses, decreased by approximately $190 million in the first quarter of 2014 compared with the same period in 2013, mainly due to lower production and severance taxes and other operating expenses following the sale of the Corporation’s assets in Indonesia, Russia and Azerbaijan, together with lower employee severance charges.</w:t>
      </w:r>
    </w:p>
    <w:p>
      <w:pPr>
        <w:spacing w:after="0" w:line="143" w:lineRule="exact"/>
        <w:rPr>
          <w:sz w:val="20"/>
          <w:szCs w:val="20"/>
          <w:color w:val="auto"/>
        </w:rPr>
      </w:pPr>
    </w:p>
    <w:p>
      <w:pPr>
        <w:jc w:val="both"/>
        <w:ind w:left="240" w:firstLine="223"/>
        <w:spacing w:after="0" w:line="332" w:lineRule="auto"/>
        <w:rPr>
          <w:sz w:val="20"/>
          <w:szCs w:val="20"/>
          <w:color w:val="auto"/>
        </w:rPr>
      </w:pPr>
      <w:r>
        <w:rPr>
          <w:rFonts w:ascii="Arial" w:cs="Arial" w:eastAsia="Arial" w:hAnsi="Arial"/>
          <w:sz w:val="16"/>
          <w:szCs w:val="16"/>
          <w:b w:val="1"/>
          <w:bCs w:val="1"/>
          <w:i w:val="1"/>
          <w:iCs w:val="1"/>
          <w:color w:val="auto"/>
        </w:rPr>
        <w:t xml:space="preserve">Depreciation, Depletion and Amortization: </w:t>
      </w:r>
      <w:r>
        <w:rPr>
          <w:rFonts w:ascii="Arial" w:cs="Arial" w:eastAsia="Arial" w:hAnsi="Arial"/>
          <w:sz w:val="16"/>
          <w:szCs w:val="16"/>
          <w:color w:val="auto"/>
        </w:rPr>
        <w:t>Depreciation, depletion and amortization (DD&amp;A) expenses were higher in the first quarter of 2014,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corresponding period in 2013, primarily reflecting higher production from the Valhall Field and North Malay Basin.</w:t>
      </w:r>
    </w:p>
    <w:p>
      <w:pPr>
        <w:spacing w:after="0" w:line="85" w:lineRule="exact"/>
        <w:rPr>
          <w:sz w:val="20"/>
          <w:szCs w:val="20"/>
          <w:color w:val="auto"/>
        </w:rPr>
      </w:pPr>
    </w:p>
    <w:p>
      <w:pPr>
        <w:jc w:val="both"/>
        <w:ind w:left="240" w:firstLine="223"/>
        <w:spacing w:after="0" w:line="291" w:lineRule="auto"/>
        <w:rPr>
          <w:sz w:val="20"/>
          <w:szCs w:val="20"/>
          <w:color w:val="auto"/>
        </w:rPr>
      </w:pPr>
      <w:r>
        <w:rPr>
          <w:rFonts w:ascii="Arial" w:cs="Arial" w:eastAsia="Arial" w:hAnsi="Arial"/>
          <w:sz w:val="16"/>
          <w:szCs w:val="16"/>
          <w:color w:val="auto"/>
        </w:rPr>
        <w:t>Excluding items affecting comparability of earnings between periods, cash operating costs per barrel of oil equivalent (boe) were $21.11 in the first quarter of 2014 compared with $21.20 in the first quarter of 2013 and DD&amp;A costs were $25.19 in the first quarter of 2014 compared with $19.28 in the first quarter of 2013, resulting in total production unit costs of $46.30 and $40.48 per boe in the first quarter of 2014 and 2013, respectively. For the second quarter of 2014, cash operating costs are estimated to be in the range of $22.00 to $22.50 per boe and DD&amp;A expenses are estimated to be in the range of $28.00 to $28.50 per boe. Full year 2014 guidance is still estimated to be $20.50 to $21.50 per boe for cash operating costs and $29.00 to $30.00 for DD&amp;A, for a range of total production unit costs of $49.50 to $51.50 per boe.</w:t>
      </w:r>
    </w:p>
    <w:p>
      <w:pPr>
        <w:spacing w:after="0" w:line="120" w:lineRule="exact"/>
        <w:rPr>
          <w:sz w:val="20"/>
          <w:szCs w:val="20"/>
          <w:color w:val="auto"/>
        </w:rPr>
      </w:pPr>
    </w:p>
    <w:p>
      <w:pPr>
        <w:jc w:val="both"/>
        <w:ind w:left="240" w:firstLine="223"/>
        <w:spacing w:after="0" w:line="268" w:lineRule="auto"/>
        <w:rPr>
          <w:sz w:val="20"/>
          <w:szCs w:val="20"/>
          <w:color w:val="auto"/>
        </w:rPr>
      </w:pPr>
      <w:r>
        <w:rPr>
          <w:rFonts w:ascii="Arial" w:cs="Arial" w:eastAsia="Arial" w:hAnsi="Arial"/>
          <w:sz w:val="18"/>
          <w:szCs w:val="18"/>
          <w:b w:val="1"/>
          <w:bCs w:val="1"/>
          <w:i w:val="1"/>
          <w:iCs w:val="1"/>
          <w:color w:val="auto"/>
        </w:rPr>
        <w:t xml:space="preserve">Exploration Expenses: </w:t>
      </w:r>
      <w:r>
        <w:rPr>
          <w:rFonts w:ascii="Arial" w:cs="Arial" w:eastAsia="Arial" w:hAnsi="Arial"/>
          <w:sz w:val="18"/>
          <w:szCs w:val="18"/>
          <w:color w:val="auto"/>
        </w:rPr>
        <w:t>Exploration expenses in the first quarter of 2014 were down from the corresponding period in 2013, primarily due to lower dry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hole and leasehold amortization expenses.</w:t>
      </w:r>
    </w:p>
    <w:p>
      <w:pPr>
        <w:spacing w:after="0" w:line="132" w:lineRule="exact"/>
        <w:rPr>
          <w:sz w:val="20"/>
          <w:szCs w:val="20"/>
          <w:color w:val="auto"/>
        </w:rPr>
      </w:pPr>
    </w:p>
    <w:p>
      <w:pPr>
        <w:jc w:val="both"/>
        <w:ind w:left="240" w:firstLine="223"/>
        <w:spacing w:after="0" w:line="306"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Excluding items affecting comparability between periods, the effective income tax rate for E&amp;P operations was 39% in the first quarter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compared to 42% for the first quarter of 2013. For the full year 2014, the E&amp;P effective income tax rate is still expected to be in the range of 37% to 41% and the second quarter rate is expected to be in the range of 37% to 39%, assuming no contribution from Libya.</w:t>
      </w:r>
    </w:p>
    <w:p>
      <w:pPr>
        <w:spacing w:after="0" w:line="107" w:lineRule="exact"/>
        <w:rPr>
          <w:sz w:val="20"/>
          <w:szCs w:val="20"/>
          <w:color w:val="auto"/>
        </w:rPr>
      </w:pPr>
    </w:p>
    <w:p>
      <w:pPr>
        <w:jc w:val="both"/>
        <w:ind w:left="240" w:right="20" w:firstLine="223"/>
        <w:spacing w:after="0" w:line="268" w:lineRule="auto"/>
        <w:rPr>
          <w:sz w:val="20"/>
          <w:szCs w:val="20"/>
          <w:color w:val="auto"/>
        </w:rPr>
      </w:pPr>
      <w:r>
        <w:rPr>
          <w:rFonts w:ascii="Arial" w:cs="Arial" w:eastAsia="Arial" w:hAnsi="Arial"/>
          <w:sz w:val="18"/>
          <w:szCs w:val="18"/>
          <w:b w:val="1"/>
          <w:bCs w:val="1"/>
          <w:i w:val="1"/>
          <w:iCs w:val="1"/>
          <w:color w:val="auto"/>
        </w:rPr>
        <w:t xml:space="preserve">Items Affecting Comparability of Earnings Between Periods: </w:t>
      </w:r>
      <w:r>
        <w:rPr>
          <w:rFonts w:ascii="Arial" w:cs="Arial" w:eastAsia="Arial" w:hAnsi="Arial"/>
          <w:sz w:val="18"/>
          <w:szCs w:val="18"/>
          <w:color w:val="auto"/>
        </w:rPr>
        <w:t>The following table summarizes, on an after-tax basis, income (expense) items that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comparability of E&amp;P earnings between periods: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1680" w:type="dxa"/>
            <w:vAlign w:val="bottom"/>
            <w:gridSpan w:val="5"/>
          </w:tcPr>
          <w:p>
            <w:pPr>
              <w:jc w:val="center"/>
              <w:ind w:left="228"/>
              <w:spacing w:after="0"/>
              <w:rPr>
                <w:sz w:val="20"/>
                <w:szCs w:val="20"/>
                <w:color w:val="auto"/>
              </w:rPr>
            </w:pPr>
            <w:r>
              <w:rPr>
                <w:rFonts w:ascii="Arial" w:cs="Arial" w:eastAsia="Arial" w:hAnsi="Arial"/>
                <w:sz w:val="14"/>
                <w:szCs w:val="14"/>
                <w:b w:val="1"/>
                <w:bCs w:val="1"/>
                <w:color w:val="auto"/>
                <w:w w:val="88"/>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9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89"/>
              </w:rPr>
              <w:t>March 31,</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34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9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Gains on asset sales, net</w:t>
            </w: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683</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Employee severance</w:t>
            </w:r>
          </w:p>
        </w:tc>
        <w:tc>
          <w:tcPr>
            <w:tcW w:w="6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Income tax charge</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0"/>
        </w:trPr>
        <w:tc>
          <w:tcPr>
            <w:tcW w:w="9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9340" w:type="dxa"/>
            <w:vAlign w:val="bottom"/>
          </w:tcPr>
          <w:p>
            <w:pPr>
              <w:spacing w:after="0"/>
              <w:rPr>
                <w:sz w:val="19"/>
                <w:szCs w:val="19"/>
                <w:color w:val="auto"/>
              </w:rPr>
            </w:pPr>
          </w:p>
        </w:tc>
        <w:tc>
          <w:tcPr>
            <w:tcW w:w="600" w:type="dxa"/>
            <w:vAlign w:val="bottom"/>
          </w:tcPr>
          <w:p>
            <w:pPr>
              <w:jc w:val="right"/>
              <w:ind w:right="448"/>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6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588</w:t>
            </w:r>
          </w:p>
        </w:tc>
      </w:tr>
      <w:tr>
        <w:trPr>
          <w:trHeight w:val="20"/>
        </w:trPr>
        <w:tc>
          <w:tcPr>
            <w:tcW w:w="9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40" w:firstLine="447"/>
        <w:spacing w:after="0" w:line="306" w:lineRule="auto"/>
        <w:rPr>
          <w:sz w:val="20"/>
          <w:szCs w:val="20"/>
          <w:color w:val="auto"/>
        </w:rPr>
      </w:pPr>
      <w:r>
        <w:rPr>
          <w:rFonts w:ascii="Arial" w:cs="Arial" w:eastAsia="Arial" w:hAnsi="Arial"/>
          <w:sz w:val="16"/>
          <w:szCs w:val="16"/>
          <w:b w:val="1"/>
          <w:bCs w:val="1"/>
          <w:i w:val="1"/>
          <w:iCs w:val="1"/>
          <w:color w:val="auto"/>
        </w:rPr>
        <w:t xml:space="preserve">Gains on Asset Sales, Net: </w:t>
      </w:r>
      <w:r>
        <w:rPr>
          <w:rFonts w:ascii="Arial" w:cs="Arial" w:eastAsia="Arial" w:hAnsi="Arial"/>
          <w:sz w:val="16"/>
          <w:szCs w:val="16"/>
          <w:color w:val="auto"/>
        </w:rPr>
        <w:t>In January 2013, the Corporation completed the sale of its interests in the Beryl fields in the United Kingdom North Sea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proceeds of $442 million, resulting in a pre-tax gain of $328 million ($323 million after income taxes). In March 2013, the Corporation sold its interests in the Azeri-Chirag-Guneshli fields, offshore Azerbaijan in the Caspian Sea, for cash proceeds of $884 million, resulting in a tax-free gain of $360 million.</w:t>
      </w:r>
    </w:p>
    <w:p>
      <w:pPr>
        <w:spacing w:after="0" w:line="107" w:lineRule="exact"/>
        <w:rPr>
          <w:sz w:val="20"/>
          <w:szCs w:val="20"/>
          <w:color w:val="auto"/>
        </w:rPr>
      </w:pPr>
    </w:p>
    <w:p>
      <w:pPr>
        <w:jc w:val="both"/>
        <w:ind w:left="240" w:firstLine="447"/>
        <w:spacing w:after="0" w:line="259" w:lineRule="auto"/>
        <w:rPr>
          <w:sz w:val="20"/>
          <w:szCs w:val="20"/>
          <w:color w:val="auto"/>
        </w:rPr>
      </w:pPr>
      <w:r>
        <w:rPr>
          <w:rFonts w:ascii="Arial" w:cs="Arial" w:eastAsia="Arial" w:hAnsi="Arial"/>
          <w:sz w:val="18"/>
          <w:szCs w:val="18"/>
          <w:b w:val="1"/>
          <w:bCs w:val="1"/>
          <w:i w:val="1"/>
          <w:iCs w:val="1"/>
          <w:color w:val="auto"/>
        </w:rPr>
        <w:t xml:space="preserve">Employee Severance: </w:t>
      </w:r>
      <w:r>
        <w:rPr>
          <w:rFonts w:ascii="Arial" w:cs="Arial" w:eastAsia="Arial" w:hAnsi="Arial"/>
          <w:sz w:val="18"/>
          <w:szCs w:val="18"/>
          <w:color w:val="auto"/>
        </w:rPr>
        <w:t>During the first quarter of 2014 and 2013, the Corporation recorded pre-tax charges of $6 million ($6 million after income taxes)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$71 million ($67 million after income taxes), respectively, resulting from the planned divestitures and transformation into a more focused pure play E&amp;P company.</w:t>
      </w:r>
    </w:p>
    <w:p>
      <w:pPr>
        <w:spacing w:after="0" w:line="140" w:lineRule="exact"/>
        <w:rPr>
          <w:sz w:val="20"/>
          <w:szCs w:val="20"/>
          <w:color w:val="auto"/>
        </w:rPr>
      </w:pPr>
    </w:p>
    <w:p>
      <w:pPr>
        <w:jc w:val="both"/>
        <w:ind w:left="240" w:firstLine="447"/>
        <w:spacing w:after="0" w:line="268" w:lineRule="auto"/>
        <w:rPr>
          <w:sz w:val="20"/>
          <w:szCs w:val="20"/>
          <w:color w:val="auto"/>
        </w:rPr>
      </w:pPr>
      <w:r>
        <w:rPr>
          <w:rFonts w:ascii="Arial" w:cs="Arial" w:eastAsia="Arial" w:hAnsi="Arial"/>
          <w:sz w:val="18"/>
          <w:szCs w:val="18"/>
          <w:b w:val="1"/>
          <w:bCs w:val="1"/>
          <w:i w:val="1"/>
          <w:iCs w:val="1"/>
          <w:color w:val="auto"/>
        </w:rPr>
        <w:t xml:space="preserve">Income Tax Charge: </w:t>
      </w:r>
      <w:r>
        <w:rPr>
          <w:rFonts w:ascii="Arial" w:cs="Arial" w:eastAsia="Arial" w:hAnsi="Arial"/>
          <w:sz w:val="18"/>
          <w:szCs w:val="18"/>
          <w:color w:val="auto"/>
        </w:rPr>
        <w:t>During the first quarter of 2013, the Corporation recorded a non-cash income tax charge of $28 million as a result of a planned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 divestiture.</w:t>
      </w:r>
    </w:p>
    <w:p>
      <w:pPr>
        <w:spacing w:after="0" w:line="132" w:lineRule="exact"/>
        <w:rPr>
          <w:sz w:val="20"/>
          <w:szCs w:val="20"/>
          <w:color w:val="auto"/>
        </w:rPr>
      </w:pPr>
    </w:p>
    <w:p>
      <w:pPr>
        <w:jc w:val="both"/>
        <w:ind w:left="240" w:firstLine="223"/>
        <w:spacing w:after="0" w:line="298" w:lineRule="auto"/>
        <w:rPr>
          <w:sz w:val="20"/>
          <w:szCs w:val="20"/>
          <w:color w:val="auto"/>
        </w:rPr>
      </w:pPr>
      <w:r>
        <w:rPr>
          <w:rFonts w:ascii="Arial" w:cs="Arial" w:eastAsia="Arial" w:hAnsi="Arial"/>
          <w:sz w:val="16"/>
          <w:szCs w:val="16"/>
          <w:color w:val="auto"/>
        </w:rPr>
        <w:t>The Corporation’s future E&amp;P earnings may be impacted by external factors, such as volatility in the selling prices of crude oil and natural gas, reserve and production changes, exploration expenses, industry cost inflation, changes in foreign exchange rates and income tax rates, the effects of weather, political risk, environmental risk and catastrophic risk. For a more comprehensive description of the risks that may affect the Corporation’s E&amp;P business, see Item 1A. Risk Factors Related to Our Business and Operations in the Annual Report on Form 10-K for the year ended December 31, 2013.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Results of Operations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and Interest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corporate and interest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680" w:type="dxa"/>
            <w:vAlign w:val="bottom"/>
            <w:gridSpan w:val="5"/>
          </w:tcPr>
          <w:p>
            <w:pPr>
              <w:jc w:val="center"/>
              <w:ind w:left="228"/>
              <w:spacing w:after="0"/>
              <w:rPr>
                <w:sz w:val="20"/>
                <w:szCs w:val="20"/>
                <w:color w:val="auto"/>
              </w:rPr>
            </w:pPr>
            <w:r>
              <w:rPr>
                <w:rFonts w:ascii="Arial" w:cs="Arial" w:eastAsia="Arial" w:hAnsi="Arial"/>
                <w:sz w:val="14"/>
                <w:szCs w:val="14"/>
                <w:b w:val="1"/>
                <w:bCs w:val="1"/>
                <w:color w:val="auto"/>
                <w:w w:val="88"/>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89"/>
              </w:rPr>
              <w:t>March 31,</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 (excluding items affecting comparability)</w:t>
            </w: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21"/>
        </w:trPr>
        <w:tc>
          <w:tcPr>
            <w:tcW w:w="93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6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116</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Less: Capitalized interest</w:t>
            </w:r>
          </w:p>
        </w:tc>
        <w:tc>
          <w:tcPr>
            <w:tcW w:w="6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20"/>
                <w:szCs w:val="20"/>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6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Interest expenses before income taxes</w:t>
            </w:r>
          </w:p>
        </w:tc>
        <w:tc>
          <w:tcPr>
            <w:tcW w:w="6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133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157</w:t>
            </w:r>
          </w:p>
        </w:tc>
      </w:tr>
      <w:tr>
        <w:trPr>
          <w:trHeight w:val="223"/>
        </w:trPr>
        <w:tc>
          <w:tcPr>
            <w:tcW w:w="20" w:type="dxa"/>
            <w:vAlign w:val="bottom"/>
          </w:tcPr>
          <w:p>
            <w:pPr>
              <w:spacing w:after="0"/>
              <w:rPr>
                <w:sz w:val="19"/>
                <w:szCs w:val="19"/>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Income taxes (benefits)</w:t>
            </w:r>
          </w:p>
        </w:tc>
        <w:tc>
          <w:tcPr>
            <w:tcW w:w="60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Corporate and Interest expenses after income taxes</w:t>
            </w: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Items affecting comparability of earnings between periods, after-tax</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Total Corporate and Interest expenses after income taxes</w:t>
            </w: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109</w:t>
            </w: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40" w:firstLine="223"/>
        <w:spacing w:after="0" w:line="294" w:lineRule="auto"/>
        <w:rPr>
          <w:sz w:val="20"/>
          <w:szCs w:val="20"/>
          <w:color w:val="auto"/>
        </w:rPr>
      </w:pPr>
      <w:r>
        <w:rPr>
          <w:rFonts w:ascii="Arial" w:cs="Arial" w:eastAsia="Arial" w:hAnsi="Arial"/>
          <w:sz w:val="16"/>
          <w:szCs w:val="16"/>
          <w:color w:val="auto"/>
        </w:rPr>
        <w:t>Corporate expenses were comparable in the first quarter of 2014 and 2013. Interest expense, net, decreased in the first quarter of 2014 compared with the first quarter of 2013 reflecting higher capitalized interest and lower average debt. Second quarter 2014 Corporate expenses are expected to be in the range of $35 million to $40 million after taxes and interest expense is expected to be in the range of $50 million to $55 million after taxes. Excluding items affecting comparability of earnings, the estimate for corporate expenses for full year 2014 is still expected to be in the range of $125 million to $135 million after taxes and interest expense is still estimated to be in the range of $225 million to $235 million after taxes.</w:t>
      </w:r>
    </w:p>
    <w:p>
      <w:pPr>
        <w:spacing w:after="0" w:line="116" w:lineRule="exact"/>
        <w:rPr>
          <w:sz w:val="20"/>
          <w:szCs w:val="20"/>
          <w:color w:val="auto"/>
        </w:rPr>
      </w:pPr>
    </w:p>
    <w:p>
      <w:pPr>
        <w:jc w:val="both"/>
        <w:ind w:left="240" w:right="20" w:firstLine="223"/>
        <w:spacing w:after="0" w:line="268" w:lineRule="auto"/>
        <w:rPr>
          <w:sz w:val="20"/>
          <w:szCs w:val="20"/>
          <w:color w:val="auto"/>
        </w:rPr>
      </w:pPr>
      <w:r>
        <w:rPr>
          <w:rFonts w:ascii="Arial" w:cs="Arial" w:eastAsia="Arial" w:hAnsi="Arial"/>
          <w:sz w:val="18"/>
          <w:szCs w:val="18"/>
          <w:b w:val="1"/>
          <w:bCs w:val="1"/>
          <w:i w:val="1"/>
          <w:iCs w:val="1"/>
          <w:color w:val="auto"/>
        </w:rPr>
        <w:t xml:space="preserve">Items Affecting Comparability of Earnings Between Periods: </w:t>
      </w:r>
      <w:r>
        <w:rPr>
          <w:rFonts w:ascii="Arial" w:cs="Arial" w:eastAsia="Arial" w:hAnsi="Arial"/>
          <w:sz w:val="18"/>
          <w:szCs w:val="18"/>
          <w:color w:val="auto"/>
        </w:rPr>
        <w:t>The following table summarizes, on an after-tax basis, income (expense) items that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comparability of Corporate and Interest expenses between periods: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1700" w:type="dxa"/>
            <w:vAlign w:val="bottom"/>
            <w:gridSpan w:val="5"/>
          </w:tcPr>
          <w:p>
            <w:pPr>
              <w:jc w:val="center"/>
              <w:ind w:left="208"/>
              <w:spacing w:after="0"/>
              <w:rPr>
                <w:sz w:val="20"/>
                <w:szCs w:val="20"/>
                <w:color w:val="auto"/>
              </w:rPr>
            </w:pPr>
            <w:r>
              <w:rPr>
                <w:rFonts w:ascii="Arial" w:cs="Arial" w:eastAsia="Arial" w:hAnsi="Arial"/>
                <w:sz w:val="14"/>
                <w:szCs w:val="14"/>
                <w:b w:val="1"/>
                <w:bCs w:val="1"/>
                <w:color w:val="auto"/>
                <w:w w:val="88"/>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9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89"/>
              </w:rPr>
              <w:t>March 31,</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34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9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4"/>
          </w:tcPr>
          <w:p>
            <w:pPr>
              <w:jc w:val="center"/>
              <w:ind w:right="3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Employee severance</w:t>
            </w: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(11)</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Facility and other exit costs</w:t>
            </w:r>
          </w:p>
        </w:tc>
        <w:tc>
          <w:tcPr>
            <w:tcW w:w="6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9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(11)</w:t>
            </w:r>
          </w:p>
        </w:tc>
      </w:tr>
      <w:tr>
        <w:trPr>
          <w:trHeight w:val="20"/>
        </w:trPr>
        <w:tc>
          <w:tcPr>
            <w:tcW w:w="9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40" w:firstLine="223"/>
        <w:spacing w:after="0" w:line="259" w:lineRule="auto"/>
        <w:rPr>
          <w:sz w:val="20"/>
          <w:szCs w:val="20"/>
          <w:color w:val="auto"/>
        </w:rPr>
      </w:pPr>
      <w:r>
        <w:rPr>
          <w:rFonts w:ascii="Arial" w:cs="Arial" w:eastAsia="Arial" w:hAnsi="Arial"/>
          <w:sz w:val="18"/>
          <w:szCs w:val="18"/>
          <w:color w:val="auto"/>
        </w:rPr>
        <w:t>Corporate and Interest expenses included pre-tax severance charges for the first quarter of 2014 of $10 million ($7 million after income taxes) and $18 million ($11 million after income taxes) for the first quarter of 2013. First quarter 2014 expenses also included exit costs of $2 million ($1 million after income taxes) for professional fees.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Downstream Businesses</w:t>
      </w:r>
    </w:p>
    <w:p>
      <w:pPr>
        <w:spacing w:after="0" w:line="90" w:lineRule="exact"/>
        <w:rPr>
          <w:sz w:val="20"/>
          <w:szCs w:val="20"/>
          <w:color w:val="auto"/>
        </w:rPr>
      </w:pPr>
    </w:p>
    <w:p>
      <w:pPr>
        <w:jc w:val="both"/>
        <w:ind w:left="240" w:firstLine="223"/>
        <w:spacing w:after="0" w:line="298" w:lineRule="auto"/>
        <w:rPr>
          <w:sz w:val="20"/>
          <w:szCs w:val="20"/>
          <w:color w:val="auto"/>
        </w:rPr>
      </w:pPr>
      <w:r>
        <w:rPr>
          <w:rFonts w:ascii="Arial" w:cs="Arial" w:eastAsia="Arial" w:hAnsi="Arial"/>
          <w:sz w:val="16"/>
          <w:szCs w:val="16"/>
          <w:color w:val="auto"/>
        </w:rPr>
        <w:t>The downstream businesses reported a loss of $33 million in the first quarter of 2014 and earnings of $99 million in the first quarter of 2013. These results included after-tax charges totaling $46 million for the first quarter of 2014 and income of $30 million for the first quarter of 2013, from items affecting comparability of earnings as explained below. Excluding items affecting comparability of earnings, the decrease in earnings in the first quarter of 2014 compared to 2013 was principally due to the impact of selling the energy marketing and terminals businesses in the fourth quarter of 2013.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Results of Operations (continued)</w:t>
      </w:r>
    </w:p>
    <w:p>
      <w:pPr>
        <w:spacing w:after="0" w:line="164" w:lineRule="exact"/>
        <w:rPr>
          <w:sz w:val="20"/>
          <w:szCs w:val="20"/>
          <w:color w:val="auto"/>
        </w:rPr>
      </w:pPr>
    </w:p>
    <w:p>
      <w:pPr>
        <w:jc w:val="both"/>
        <w:ind w:left="240" w:right="20" w:firstLine="223"/>
        <w:spacing w:after="0" w:line="268" w:lineRule="auto"/>
        <w:rPr>
          <w:sz w:val="20"/>
          <w:szCs w:val="20"/>
          <w:color w:val="auto"/>
        </w:rPr>
      </w:pPr>
      <w:r>
        <w:rPr>
          <w:rFonts w:ascii="Arial" w:cs="Arial" w:eastAsia="Arial" w:hAnsi="Arial"/>
          <w:sz w:val="18"/>
          <w:szCs w:val="18"/>
          <w:b w:val="1"/>
          <w:bCs w:val="1"/>
          <w:i w:val="1"/>
          <w:iCs w:val="1"/>
          <w:color w:val="auto"/>
        </w:rPr>
        <w:t xml:space="preserve">Items Affecting Comparability of Earnings Between Periods: </w:t>
      </w:r>
      <w:r>
        <w:rPr>
          <w:rFonts w:ascii="Arial" w:cs="Arial" w:eastAsia="Arial" w:hAnsi="Arial"/>
          <w:sz w:val="18"/>
          <w:szCs w:val="18"/>
          <w:color w:val="auto"/>
        </w:rPr>
        <w:t>The following table summarizes, on an after-tax basis, income (expense) items that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comparability of earnings of the downstream businesses between periods: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1680" w:type="dxa"/>
            <w:vAlign w:val="bottom"/>
            <w:gridSpan w:val="5"/>
          </w:tcPr>
          <w:p>
            <w:pPr>
              <w:jc w:val="center"/>
              <w:ind w:left="228"/>
              <w:spacing w:after="0"/>
              <w:rPr>
                <w:sz w:val="20"/>
                <w:szCs w:val="20"/>
                <w:color w:val="auto"/>
              </w:rPr>
            </w:pPr>
            <w:r>
              <w:rPr>
                <w:rFonts w:ascii="Arial" w:cs="Arial" w:eastAsia="Arial" w:hAnsi="Arial"/>
                <w:sz w:val="14"/>
                <w:szCs w:val="14"/>
                <w:b w:val="1"/>
                <w:bCs w:val="1"/>
                <w:color w:val="auto"/>
                <w:w w:val="88"/>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9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89"/>
              </w:rPr>
              <w:t>March 31,</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34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9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Gain recognized on acquisition of controlling interest in equity investee</w:t>
            </w: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Write down of equity investment</w:t>
            </w:r>
          </w:p>
        </w:tc>
        <w:tc>
          <w:tcPr>
            <w:tcW w:w="6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LIFO inventory liquidations</w:t>
            </w:r>
          </w:p>
        </w:tc>
        <w:tc>
          <w:tcPr>
            <w:tcW w:w="6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137</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Employee severance</w:t>
            </w:r>
          </w:p>
        </w:tc>
        <w:tc>
          <w:tcPr>
            <w:tcW w:w="6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(13)</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Port Reading refinery shutdown costs</w:t>
            </w:r>
          </w:p>
        </w:tc>
        <w:tc>
          <w:tcPr>
            <w:tcW w:w="6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Exit costs and other charges</w:t>
            </w:r>
          </w:p>
        </w:tc>
        <w:tc>
          <w:tcPr>
            <w:tcW w:w="6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9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(46)</w:t>
            </w: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0"/>
        </w:trPr>
        <w:tc>
          <w:tcPr>
            <w:tcW w:w="9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40" w:firstLine="223"/>
        <w:spacing w:after="0" w:line="287" w:lineRule="auto"/>
        <w:rPr>
          <w:sz w:val="20"/>
          <w:szCs w:val="20"/>
          <w:color w:val="auto"/>
        </w:rPr>
      </w:pPr>
      <w:r>
        <w:rPr>
          <w:rFonts w:ascii="Arial" w:cs="Arial" w:eastAsia="Arial" w:hAnsi="Arial"/>
          <w:sz w:val="16"/>
          <w:szCs w:val="16"/>
          <w:color w:val="auto"/>
        </w:rPr>
        <w:t xml:space="preserve">In January 2014, the Corporation recognized a gain of $39 million pre-tax ($24 million after income taxes) resulting from the required remeasurement of the Corporation’s original 44% investment in WilcoHess to fair value following acquisition of the remaining interest in the venture. In the first quarter of 2014, the Corporation recorded a charge of $84 million pre-tax ($52 million after income taxes) to reduce the carrying value of its investment in the Bayonne Energy Center (Hess 50%) to fair value. The Corporation also recorded gains of $25 million pre-tax </w:t>
      </w:r>
      <w:r>
        <w:rPr>
          <w:rFonts w:ascii="Arial" w:cs="Arial" w:eastAsia="Arial" w:hAnsi="Arial"/>
          <w:sz w:val="16"/>
          <w:szCs w:val="16"/>
          <w:b w:val="1"/>
          <w:bCs w:val="1"/>
          <w:color w:val="auto"/>
        </w:rPr>
        <w:t>(</w:t>
      </w:r>
      <w:r>
        <w:rPr>
          <w:rFonts w:ascii="Arial" w:cs="Arial" w:eastAsia="Arial" w:hAnsi="Arial"/>
          <w:sz w:val="16"/>
          <w:szCs w:val="16"/>
          <w:color w:val="auto"/>
        </w:rPr>
        <w:t>$16 million after income taxes) in the first quarter of 2014 and $218 million pre-tax ($137 million after income taxes) in the first quarter of 2013 relating to liquidation of last-in, first-out (LIFO) inventories. During the first quarter of 2014 and 2013, the Corporation recognized employee severance costs totaling $20 million pre-tax ($13 million after income taxes) and $69 million pre-tax ($43 million after income taxes), respectively. In the first quarter of 2014, exit costs and other charges were $33 million pre-tax ($21 million after income taxes). In the first quarter of 2013, the Corporation recorded charges for Port Reading totaling $101 million pre-tax ($64 million after income taxes) comprised of $80 million pre-tax ($51 million after income taxes) for accelerated depreciation and $21 million pre-tax ($13 million after income taxes) for shutdown costs.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relevant measures of the Corporation’s liquidity and capital resources: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00"/>
              <w:spacing w:after="0"/>
              <w:rPr>
                <w:sz w:val="20"/>
                <w:szCs w:val="20"/>
                <w:color w:val="auto"/>
              </w:rPr>
            </w:pPr>
            <w:r>
              <w:rPr>
                <w:rFonts w:ascii="Arial" w:cs="Arial" w:eastAsia="Arial" w:hAnsi="Arial"/>
                <w:sz w:val="14"/>
                <w:szCs w:val="14"/>
                <w:b w:val="1"/>
                <w:bCs w:val="1"/>
                <w:color w:val="auto"/>
                <w:w w:val="92"/>
              </w:rPr>
              <w:t>March 31,</w:t>
            </w:r>
          </w:p>
        </w:tc>
        <w:tc>
          <w:tcPr>
            <w:tcW w:w="11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65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r>
      <w:tr>
        <w:trPr>
          <w:trHeight w:val="142"/>
        </w:trPr>
        <w:tc>
          <w:tcPr>
            <w:tcW w:w="6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3"/>
          </w:tcPr>
          <w:p>
            <w:pPr>
              <w:jc w:val="right"/>
              <w:ind w:right="216"/>
              <w:spacing w:after="0" w:line="142" w:lineRule="exact"/>
              <w:rPr>
                <w:sz w:val="20"/>
                <w:szCs w:val="20"/>
                <w:color w:val="auto"/>
              </w:rPr>
            </w:pPr>
            <w:r>
              <w:rPr>
                <w:rFonts w:ascii="Arial" w:cs="Arial" w:eastAsia="Arial" w:hAnsi="Arial"/>
                <w:sz w:val="14"/>
                <w:szCs w:val="14"/>
                <w:b w:val="1"/>
                <w:bCs w:val="1"/>
                <w:color w:val="auto"/>
                <w:w w:val="99"/>
              </w:rPr>
              <w:t>(In millions, except ratio)</w:t>
            </w:r>
          </w:p>
        </w:tc>
        <w:tc>
          <w:tcPr>
            <w:tcW w:w="20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1,288</w:t>
            </w:r>
          </w:p>
        </w:tc>
        <w:tc>
          <w:tcPr>
            <w:tcW w:w="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1,814</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Short-term debt and current maturities of long-term debt</w:t>
            </w:r>
          </w:p>
        </w:tc>
        <w:tc>
          <w:tcPr>
            <w:tcW w:w="2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0"/>
              <w:spacing w:after="0"/>
              <w:rPr>
                <w:sz w:val="20"/>
                <w:szCs w:val="20"/>
                <w:color w:val="auto"/>
              </w:rPr>
            </w:pPr>
            <w:r>
              <w:rPr>
                <w:rFonts w:ascii="Arial" w:cs="Arial" w:eastAsia="Arial" w:hAnsi="Arial"/>
                <w:sz w:val="18"/>
                <w:szCs w:val="18"/>
                <w:color w:val="auto"/>
              </w:rPr>
              <w:t>142</w:t>
            </w:r>
          </w:p>
        </w:tc>
        <w:tc>
          <w:tcPr>
            <w:tcW w:w="2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378</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5,576</w:t>
            </w:r>
          </w:p>
        </w:tc>
        <w:tc>
          <w:tcPr>
            <w:tcW w:w="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5,798</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Total equity</w:t>
            </w:r>
          </w:p>
        </w:tc>
        <w:tc>
          <w:tcPr>
            <w:tcW w:w="2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0"/>
              <w:spacing w:after="0"/>
              <w:rPr>
                <w:sz w:val="20"/>
                <w:szCs w:val="20"/>
                <w:color w:val="auto"/>
              </w:rPr>
            </w:pPr>
            <w:r>
              <w:rPr>
                <w:rFonts w:ascii="Arial" w:cs="Arial" w:eastAsia="Arial" w:hAnsi="Arial"/>
                <w:sz w:val="18"/>
                <w:szCs w:val="18"/>
                <w:color w:val="auto"/>
              </w:rPr>
              <w:t>24,242</w:t>
            </w:r>
          </w:p>
        </w:tc>
        <w:tc>
          <w:tcPr>
            <w:tcW w:w="2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24,784</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Debt to capitalization ratio*</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i w:val="1"/>
          <w:iCs w:val="1"/>
          <w:color w:val="auto"/>
        </w:rPr>
        <w:t>Total debt as a percentage of the sum of total debt plus equity.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Liquidity and Capital Resources (continued)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Corporation’s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left="336"/>
              <w:spacing w:after="0"/>
              <w:rPr>
                <w:sz w:val="20"/>
                <w:szCs w:val="20"/>
                <w:color w:val="auto"/>
              </w:rPr>
            </w:pPr>
            <w:r>
              <w:rPr>
                <w:rFonts w:ascii="Arial" w:cs="Arial" w:eastAsia="Arial" w:hAnsi="Arial"/>
                <w:sz w:val="14"/>
                <w:szCs w:val="14"/>
                <w:b w:val="1"/>
                <w:bCs w:val="1"/>
                <w:color w:val="auto"/>
                <w:w w:val="89"/>
              </w:rPr>
              <w:t>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4"/>
          </w:tcPr>
          <w:p>
            <w:pPr>
              <w:jc w:val="center"/>
              <w:ind w:left="336"/>
              <w:spacing w:after="0" w:line="142" w:lineRule="exact"/>
              <w:rPr>
                <w:sz w:val="20"/>
                <w:szCs w:val="20"/>
                <w:color w:val="auto"/>
              </w:rPr>
            </w:pPr>
            <w:r>
              <w:rPr>
                <w:rFonts w:ascii="Arial" w:cs="Arial" w:eastAsia="Arial" w:hAnsi="Arial"/>
                <w:sz w:val="14"/>
                <w:szCs w:val="14"/>
                <w:b w:val="1"/>
                <w:bCs w:val="1"/>
                <w:color w:val="auto"/>
                <w:w w:val="89"/>
              </w:rPr>
              <w:t>(In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Cash provided by (used in) operating activities — continuing operations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1,163</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provided by (used in) operating activities — discontinued operations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asset sales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provided by (used in) investing activities — continuing operations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Cash provided by (used in) investing activities — discontinued operations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provided by (used in) financing activities — continuing operations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Cash provided by (used in) financing activities — discontinued operations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 from continuing operations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 from discontinued operations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40" w:type="dxa"/>
            <w:vAlign w:val="bottom"/>
            <w:gridSpan w:val="2"/>
            <w:vMerge w:val="continue"/>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(526)</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40" w:firstLine="223"/>
        <w:spacing w:after="0" w:line="268"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was $1,158 million in the first quarter of 2014, compared with $819 million in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of 2013, primarily reflecting the impact of changes in working capital partially offset by lower operating earnings.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following table summarizes the Corporation’s capital expenditures: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9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320"/>
              <w:spacing w:after="0"/>
              <w:rPr>
                <w:sz w:val="20"/>
                <w:szCs w:val="20"/>
                <w:color w:val="auto"/>
              </w:rPr>
            </w:pPr>
            <w:r>
              <w:rPr>
                <w:rFonts w:ascii="Arial" w:cs="Arial" w:eastAsia="Arial" w:hAnsi="Arial"/>
                <w:sz w:val="14"/>
                <w:szCs w:val="14"/>
                <w:b w:val="1"/>
                <w:bCs w:val="1"/>
                <w:color w:val="auto"/>
                <w:w w:val="89"/>
              </w:rPr>
              <w:t>March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83"/>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jc w:val="center"/>
              <w:ind w:left="3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Exploration and Production</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4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Retail Marketing and Other</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440" w:type="dxa"/>
            <w:vAlign w:val="bottom"/>
            <w:vMerge w:val="restart"/>
          </w:tcPr>
          <w:p>
            <w:pPr>
              <w:ind w:left="220"/>
              <w:spacing w:after="0"/>
              <w:rPr>
                <w:sz w:val="20"/>
                <w:szCs w:val="20"/>
                <w:color w:val="auto"/>
              </w:rPr>
            </w:pPr>
            <w:r>
              <w:rPr>
                <w:rFonts w:ascii="Arial" w:cs="Arial" w:eastAsia="Arial" w:hAnsi="Arial"/>
                <w:sz w:val="18"/>
                <w:szCs w:val="18"/>
                <w:color w:val="auto"/>
              </w:rPr>
              <w:t>Total capital expenditures — continuing operations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8"/>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Downstream businesses — discontinued operations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440" w:type="dxa"/>
            <w:vAlign w:val="bottom"/>
            <w:vMerge w:val="restart"/>
          </w:tcPr>
          <w:p>
            <w:pPr>
              <w:ind w:left="220"/>
              <w:spacing w:after="0"/>
              <w:rPr>
                <w:sz w:val="20"/>
                <w:szCs w:val="20"/>
                <w:color w:val="auto"/>
              </w:rPr>
            </w:pPr>
            <w:r>
              <w:rPr>
                <w:rFonts w:ascii="Arial" w:cs="Arial" w:eastAsia="Arial" w:hAnsi="Arial"/>
                <w:sz w:val="18"/>
                <w:szCs w:val="18"/>
                <w:color w:val="auto"/>
              </w:rPr>
              <w:t>Total capital expenditures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40" w:type="dxa"/>
            <w:vAlign w:val="bottom"/>
            <w:vMerge w:val="continue"/>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1,444</w:t>
            </w:r>
          </w:p>
        </w:tc>
        <w:tc>
          <w:tcPr>
            <w:tcW w:w="16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40" w:firstLine="223"/>
        <w:spacing w:after="0" w:line="298" w:lineRule="auto"/>
        <w:rPr>
          <w:sz w:val="20"/>
          <w:szCs w:val="20"/>
          <w:color w:val="auto"/>
        </w:rPr>
      </w:pPr>
      <w:r>
        <w:rPr>
          <w:rFonts w:ascii="Arial" w:cs="Arial" w:eastAsia="Arial" w:hAnsi="Arial"/>
          <w:sz w:val="16"/>
          <w:szCs w:val="16"/>
          <w:color w:val="auto"/>
        </w:rPr>
        <w:t>Capital expenditures for E&amp;P were lower in the first quarter of 2014 compared to the same period in 2013 mainly due to reduced capital expenditures in the Bakken, primarily resulting from lower costs per well. In January 2014, the Corporation acquired its partners’ 56% interest in WilcoHess, a retail gasoline joint venture, for approximately $290 million. During the first quarter of 2014, the Corporation received proceeds of approximately $650 million from the sale of its interest in the Pangkah Field, offshore Indonesia, and approximately $590 million from the sale of 47,000 acres of its dry gas position in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Liquidity and Capital Resources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Utica shale. During the first quarter of 2013, the Corporation received proceeds of $1.3 billion from the sale of its interests in the Beryl and ACG fields.</w:t>
      </w:r>
    </w:p>
    <w:p>
      <w:pPr>
        <w:spacing w:after="0" w:line="194" w:lineRule="exact"/>
        <w:rPr>
          <w:sz w:val="20"/>
          <w:szCs w:val="20"/>
          <w:color w:val="auto"/>
        </w:rPr>
      </w:pPr>
    </w:p>
    <w:p>
      <w:pPr>
        <w:jc w:val="both"/>
        <w:ind w:left="240" w:firstLine="223"/>
        <w:spacing w:after="0" w:line="254"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In the first quarter of 2014, the Corporation repaid $333 million of debt, including $74 million assumed in the acquisition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WilcoHess in January 2014. See also Note 5, Acquisition, in the Notes to the Consolidated Financial Statements. There were no borrowings or repayments under the Corporation’s available credit facilities in the first quarter of 2014. During the first quarter of 2014, the Corporation purchased approximately $1.0 billion of common shares under a board authorized $4 billion repurchase plan. Dividends paid were $79 million in the first quarter of 2014 compared to $35 million in the first quarter of 2013. The quarterly dividend was $0.25 per common share during the first quarter of 2014 compared to $0.10 during the first quarter of 2013.</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Future Capital Requirements and Resources</w:t>
      </w:r>
    </w:p>
    <w:p>
      <w:pPr>
        <w:spacing w:after="0" w:line="96" w:lineRule="exact"/>
        <w:rPr>
          <w:sz w:val="20"/>
          <w:szCs w:val="20"/>
          <w:color w:val="auto"/>
        </w:rPr>
      </w:pPr>
    </w:p>
    <w:p>
      <w:pPr>
        <w:jc w:val="both"/>
        <w:ind w:left="240" w:firstLine="223"/>
        <w:spacing w:after="0" w:line="255" w:lineRule="auto"/>
        <w:rPr>
          <w:sz w:val="20"/>
          <w:szCs w:val="20"/>
          <w:color w:val="auto"/>
        </w:rPr>
      </w:pPr>
      <w:r>
        <w:rPr>
          <w:rFonts w:ascii="Arial" w:cs="Arial" w:eastAsia="Arial" w:hAnsi="Arial"/>
          <w:sz w:val="18"/>
          <w:szCs w:val="18"/>
          <w:color w:val="auto"/>
        </w:rPr>
        <w:t>The Corporation anticipates investing approximately $5.8 billion in capital and exploratory expenditures during 2014 for E&amp;P operations. The Corporation expects to fund its 2014 projected cash flow deficit, including capital expenditures, dismantlement obligations, dividends, pension contributions, debt repayments and share repurchases under its Board authorized plan to repurchase up to $4 billion in Hess common stock, with existing cash on-hand, cash flows from operations and proceeds from asset sales. Based on $100 Brent crude oil prices and projected production growth from the Bakken and Tubular Bells fields, the Corporation expects to generate free cash flow in 2015.</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summarizes the capacity, usage and available capacity of the Corporation’s borrowing and letter of credit facilities at March 31, 2014:</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Expiration</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Letters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Available</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Date</w:t>
            </w:r>
          </w:p>
        </w:tc>
        <w:tc>
          <w:tcPr>
            <w:tcW w:w="140" w:type="dxa"/>
            <w:vAlign w:val="bottom"/>
          </w:tcPr>
          <w:p>
            <w:pPr>
              <w:spacing w:after="0"/>
              <w:rPr>
                <w:sz w:val="14"/>
                <w:szCs w:val="14"/>
                <w:color w:val="auto"/>
              </w:rPr>
            </w:pPr>
          </w:p>
        </w:tc>
        <w:tc>
          <w:tcPr>
            <w:tcW w:w="740" w:type="dxa"/>
            <w:vAlign w:val="bottom"/>
          </w:tcPr>
          <w:p>
            <w:pPr>
              <w:jc w:val="right"/>
              <w:ind w:right="96"/>
              <w:spacing w:after="0"/>
              <w:rPr>
                <w:sz w:val="20"/>
                <w:szCs w:val="20"/>
                <w:color w:val="auto"/>
              </w:rPr>
            </w:pPr>
            <w:r>
              <w:rPr>
                <w:rFonts w:ascii="Arial" w:cs="Arial" w:eastAsia="Arial" w:hAnsi="Arial"/>
                <w:sz w:val="14"/>
                <w:szCs w:val="14"/>
                <w:b w:val="1"/>
                <w:bCs w:val="1"/>
                <w:color w:val="auto"/>
                <w:w w:val="92"/>
              </w:rPr>
              <w:t>Capacity</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w w:val="97"/>
              </w:rPr>
              <w:t>Borrowings</w:t>
            </w:r>
          </w:p>
        </w:tc>
        <w:tc>
          <w:tcPr>
            <w:tcW w:w="20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Credit Issued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Used</w:t>
            </w:r>
          </w:p>
        </w:tc>
        <w:tc>
          <w:tcPr>
            <w:tcW w:w="14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780" w:type="dxa"/>
            <w:vAlign w:val="bottom"/>
            <w:gridSpan w:val="3"/>
            <w:shd w:val="clear" w:color="auto" w:fill="CCEEFF"/>
          </w:tcPr>
          <w:p>
            <w:pPr>
              <w:ind w:left="2900"/>
              <w:spacing w:after="0"/>
              <w:rPr>
                <w:sz w:val="20"/>
                <w:szCs w:val="20"/>
                <w:color w:val="auto"/>
              </w:rPr>
            </w:pPr>
            <w:r>
              <w:rPr>
                <w:rFonts w:ascii="Arial" w:cs="Arial" w:eastAsia="Arial" w:hAnsi="Arial"/>
                <w:sz w:val="18"/>
                <w:szCs w:val="18"/>
                <w:color w:val="auto"/>
              </w:rPr>
              <w:t>April 2016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Committed lines</w:t>
            </w:r>
          </w:p>
        </w:tc>
        <w:tc>
          <w:tcPr>
            <w:tcW w:w="3780" w:type="dxa"/>
            <w:vAlign w:val="bottom"/>
            <w:gridSpan w:val="3"/>
          </w:tcPr>
          <w:p>
            <w:pPr>
              <w:ind w:left="2900"/>
              <w:spacing w:after="0"/>
              <w:rPr>
                <w:sz w:val="20"/>
                <w:szCs w:val="20"/>
                <w:color w:val="auto"/>
              </w:rPr>
            </w:pPr>
            <w:r>
              <w:rPr>
                <w:rFonts w:ascii="Arial" w:cs="Arial" w:eastAsia="Arial" w:hAnsi="Arial"/>
                <w:sz w:val="18"/>
                <w:szCs w:val="18"/>
                <w:color w:val="auto"/>
              </w:rPr>
              <w:t>Various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Uncommitted lines</w:t>
            </w:r>
          </w:p>
        </w:tc>
        <w:tc>
          <w:tcPr>
            <w:tcW w:w="3780" w:type="dxa"/>
            <w:vAlign w:val="bottom"/>
            <w:gridSpan w:val="3"/>
            <w:shd w:val="clear" w:color="auto" w:fill="CCEEFF"/>
          </w:tcPr>
          <w:p>
            <w:pPr>
              <w:ind w:left="2900"/>
              <w:spacing w:after="0"/>
              <w:rPr>
                <w:sz w:val="20"/>
                <w:szCs w:val="20"/>
                <w:color w:val="auto"/>
              </w:rPr>
            </w:pPr>
            <w:r>
              <w:rPr>
                <w:rFonts w:ascii="Arial" w:cs="Arial" w:eastAsia="Arial" w:hAnsi="Arial"/>
                <w:sz w:val="18"/>
                <w:szCs w:val="18"/>
                <w:color w:val="auto"/>
              </w:rPr>
              <w:t>Various *</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00" w:type="dxa"/>
            <w:vAlign w:val="bottom"/>
            <w:vMerge w:val="continue"/>
          </w:tcPr>
          <w:p>
            <w:pPr>
              <w:spacing w:after="0"/>
              <w:rPr>
                <w:sz w:val="19"/>
                <w:szCs w:val="19"/>
                <w:color w:val="auto"/>
              </w:rPr>
            </w:pPr>
          </w:p>
        </w:tc>
        <w:tc>
          <w:tcPr>
            <w:tcW w:w="2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5,699</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389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40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i w:val="1"/>
          <w:iCs w:val="1"/>
          <w:color w:val="auto"/>
        </w:rPr>
        <w:t>Committed and uncommitted lines have expiration dates through 2015.</w:t>
      </w:r>
    </w:p>
    <w:p>
      <w:pPr>
        <w:spacing w:after="0" w:line="152" w:lineRule="exact"/>
        <w:rPr>
          <w:sz w:val="20"/>
          <w:szCs w:val="20"/>
          <w:color w:val="auto"/>
        </w:rPr>
      </w:pPr>
    </w:p>
    <w:p>
      <w:pPr>
        <w:jc w:val="both"/>
        <w:ind w:left="240" w:right="20" w:firstLine="223"/>
        <w:spacing w:after="0" w:line="268" w:lineRule="auto"/>
        <w:rPr>
          <w:sz w:val="20"/>
          <w:szCs w:val="20"/>
          <w:color w:val="auto"/>
        </w:rPr>
      </w:pPr>
      <w:r>
        <w:rPr>
          <w:rFonts w:ascii="Arial" w:cs="Arial" w:eastAsia="Arial" w:hAnsi="Arial"/>
          <w:sz w:val="18"/>
          <w:szCs w:val="18"/>
          <w:color w:val="auto"/>
        </w:rPr>
        <w:t>The Corporation’s $389 million in letters of credit outstanding at March 31, 2014 were primarily issued to satisfy margin requirements. See also Note 15, Financial Risk Management and Trading Activities, in the Notes to the Consolidated Financial Statements.</w:t>
      </w:r>
    </w:p>
    <w:p>
      <w:pPr>
        <w:spacing w:after="0" w:line="132" w:lineRule="exact"/>
        <w:rPr>
          <w:sz w:val="20"/>
          <w:szCs w:val="20"/>
          <w:color w:val="auto"/>
        </w:rPr>
      </w:pPr>
    </w:p>
    <w:p>
      <w:pPr>
        <w:jc w:val="both"/>
        <w:ind w:left="240" w:firstLine="223"/>
        <w:spacing w:after="0" w:line="306" w:lineRule="auto"/>
        <w:rPr>
          <w:sz w:val="20"/>
          <w:szCs w:val="20"/>
          <w:color w:val="auto"/>
        </w:rPr>
      </w:pPr>
      <w:r>
        <w:rPr>
          <w:rFonts w:ascii="Arial" w:cs="Arial" w:eastAsia="Arial" w:hAnsi="Arial"/>
          <w:sz w:val="16"/>
          <w:szCs w:val="16"/>
          <w:color w:val="auto"/>
        </w:rPr>
        <w:t>The Corporation has a $4 billion syndicated revolving credit facility that matures in April 2016. This facility can be used for borrowings and letters of credit. Borrowings on the facility bear interest at 1.25% above the London Interbank Offered Rate. A fee of 0.25% per annum is also payable on the amount of the facility. The interest rate and facility fee are subject to adjustment if the Corporation’s credit rating changes.</w:t>
      </w:r>
    </w:p>
    <w:p>
      <w:pPr>
        <w:spacing w:after="0" w:line="107" w:lineRule="exact"/>
        <w:rPr>
          <w:sz w:val="20"/>
          <w:szCs w:val="20"/>
          <w:color w:val="auto"/>
        </w:rPr>
      </w:pPr>
    </w:p>
    <w:p>
      <w:pPr>
        <w:jc w:val="both"/>
        <w:ind w:left="240" w:firstLine="223"/>
        <w:spacing w:after="0" w:line="259" w:lineRule="auto"/>
        <w:rPr>
          <w:sz w:val="20"/>
          <w:szCs w:val="20"/>
          <w:color w:val="auto"/>
        </w:rPr>
      </w:pPr>
      <w:r>
        <w:rPr>
          <w:rFonts w:ascii="Arial" w:cs="Arial" w:eastAsia="Arial" w:hAnsi="Arial"/>
          <w:sz w:val="18"/>
          <w:szCs w:val="18"/>
          <w:color w:val="auto"/>
        </w:rPr>
        <w:t>The Corporation’s long-term debt agreements, including the revolving credit facility, contain financial covenants that restrict the amount of total borrowings and secured debt. These financial covenants do not currently materially impact the Company’s ability to issue indebtedness to fund its future capital requirements.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Corporation also has a shelf registration under which it may issue additional debt securities, warrants, common stock or preferred stock.</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Liquidity and Capital Resources (continued)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Off-balance Sheet Arrangements Relating to Discontinued Operations</w:t>
      </w:r>
    </w:p>
    <w:p>
      <w:pPr>
        <w:spacing w:after="0" w:line="96" w:lineRule="exact"/>
        <w:rPr>
          <w:sz w:val="20"/>
          <w:szCs w:val="20"/>
          <w:color w:val="auto"/>
        </w:rPr>
      </w:pPr>
    </w:p>
    <w:p>
      <w:pPr>
        <w:jc w:val="both"/>
        <w:ind w:left="240" w:firstLine="223"/>
        <w:spacing w:after="0" w:line="294" w:lineRule="auto"/>
        <w:rPr>
          <w:sz w:val="20"/>
          <w:szCs w:val="20"/>
          <w:color w:val="auto"/>
        </w:rPr>
      </w:pPr>
      <w:r>
        <w:rPr>
          <w:rFonts w:ascii="Arial" w:cs="Arial" w:eastAsia="Arial" w:hAnsi="Arial"/>
          <w:sz w:val="16"/>
          <w:szCs w:val="16"/>
          <w:color w:val="auto"/>
        </w:rPr>
        <w:t>The Corporation has leveraged leases not included in its Consolidated Balance Sheet, primarily related to gasoline stations operated by the retail marketing business. The net present value of these leases is $235 million at March 31, 2014 compared with $238 million at December 31, 2013. In connection with the planned divestiture of its retail operations, the Corporation plans to buyout these leases or sublet the retail gas stations to the divested operations. The Corporation estimates that it will incur an after-tax charge of approximately $100 million in connection with a buyout or sublet of the leases. If these leases were included as debt, the Corporation’s debt to capitalization ratio at March 31, 2014 would increase to 19.3% from 18.7%.</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Market Risk Disclosures</w:t>
      </w:r>
    </w:p>
    <w:p>
      <w:pPr>
        <w:spacing w:after="0" w:line="96" w:lineRule="exact"/>
        <w:rPr>
          <w:sz w:val="20"/>
          <w:szCs w:val="20"/>
          <w:color w:val="auto"/>
        </w:rPr>
      </w:pPr>
    </w:p>
    <w:p>
      <w:pPr>
        <w:jc w:val="both"/>
        <w:ind w:left="240" w:firstLine="223"/>
        <w:spacing w:after="0" w:line="253" w:lineRule="auto"/>
        <w:rPr>
          <w:sz w:val="20"/>
          <w:szCs w:val="20"/>
          <w:color w:val="auto"/>
        </w:rPr>
      </w:pPr>
      <w:r>
        <w:rPr>
          <w:rFonts w:ascii="Arial" w:cs="Arial" w:eastAsia="Arial" w:hAnsi="Arial"/>
          <w:sz w:val="18"/>
          <w:szCs w:val="18"/>
          <w:color w:val="auto"/>
        </w:rPr>
        <w:t>As discussed in Note 15, Financial Risk Management and Trading Activities, in the Notes to the Consolidated Financial Statements, in the normal course of its business, the Corporation has been exposed to commodity risks related to changes in the prices of crude oil, natural gas, refined petroleum products and electricity, as well as to changes in interest rates and foreign currency values. In the disclosures that follow, risk management activities related to the continuing operations are referred to as corporate risk management while risk management activities related to the discontinued operations are referred to as energy marketing. The Corporation also has trading activities through a 50% voting interest in a consolidated partnership that trades energy-related commodities, securities and derivatives. These activities are also exposed to commodity risks primarily related to the prices of crude oil, natural gas, electricity and refined petroleum products.</w:t>
      </w:r>
    </w:p>
    <w:p>
      <w:pPr>
        <w:spacing w:after="0" w:line="147" w:lineRule="exact"/>
        <w:rPr>
          <w:sz w:val="20"/>
          <w:szCs w:val="20"/>
          <w:color w:val="auto"/>
        </w:rPr>
      </w:pPr>
    </w:p>
    <w:p>
      <w:pPr>
        <w:jc w:val="both"/>
        <w:ind w:left="240" w:firstLine="223"/>
        <w:spacing w:after="0" w:line="288" w:lineRule="auto"/>
        <w:rPr>
          <w:sz w:val="20"/>
          <w:szCs w:val="20"/>
          <w:color w:val="auto"/>
        </w:rPr>
      </w:pPr>
      <w:r>
        <w:rPr>
          <w:rFonts w:ascii="Arial" w:cs="Arial" w:eastAsia="Arial" w:hAnsi="Arial"/>
          <w:sz w:val="16"/>
          <w:szCs w:val="16"/>
          <w:color w:val="auto"/>
        </w:rPr>
        <w:t>In conjunction with the sale of the energy marketing business in the fourth quarter of 2013, certain derivative contracts, including new transactions following the closing date, (the “delayed transfer derivative contracts”) were not transferred to Direct Energy, a North American subsidiary of Centrica plc (Centrica), as required customer or regulatory consents had not been obtained. However, the agreement entered into between Hess and Direct Energy on the closing date transferred all economic risks and rewards of the energy marketing business, including the ownership of the delayed transfer derivative contracts, to Direct Energy. At the end of the first quarter of 2014, a large majority of these contracts were transferred to Direct Energy. As of March 31, 2014, the assets and liabilities related to the delayed transfer derivative contracts that were not transferred remain on the Corporation’s Consolidated Balance Sheet but changes in their fair value are offset based on the terms of the agreement between Hess and Direct Energy. The Corporation therefore has no market risk related to these delayed transfer derivative contracts and only retains credit risk exposure, which has been guaranteed by Centrica. It is expected that the transfer of the remaining contracts will be substantially complete by the end of the second quarter of 2014.</w:t>
      </w:r>
    </w:p>
    <w:p>
      <w:pPr>
        <w:spacing w:after="0" w:line="120" w:lineRule="exact"/>
        <w:rPr>
          <w:sz w:val="20"/>
          <w:szCs w:val="20"/>
          <w:color w:val="auto"/>
        </w:rPr>
      </w:pPr>
    </w:p>
    <w:p>
      <w:pPr>
        <w:jc w:val="both"/>
        <w:ind w:left="240" w:firstLine="223"/>
        <w:spacing w:after="0" w:line="255" w:lineRule="auto"/>
        <w:rPr>
          <w:sz w:val="20"/>
          <w:szCs w:val="20"/>
          <w:color w:val="auto"/>
        </w:rPr>
      </w:pPr>
      <w:r>
        <w:rPr>
          <w:rFonts w:ascii="Arial" w:cs="Arial" w:eastAsia="Arial" w:hAnsi="Arial"/>
          <w:sz w:val="18"/>
          <w:szCs w:val="18"/>
          <w:b w:val="1"/>
          <w:bCs w:val="1"/>
          <w:i w:val="1"/>
          <w:iCs w:val="1"/>
          <w:color w:val="auto"/>
        </w:rPr>
        <w:t xml:space="preserve">Value at Risk: </w:t>
      </w:r>
      <w:r>
        <w:rPr>
          <w:rFonts w:ascii="Arial" w:cs="Arial" w:eastAsia="Arial" w:hAnsi="Arial"/>
          <w:sz w:val="18"/>
          <w:szCs w:val="18"/>
          <w:color w:val="auto"/>
        </w:rPr>
        <w:t>The Corporation uses value at risk to monitor and control commodity risk within its risk management and trading activities. The value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 model uses historical simulation and the results represent the potential loss in fair value over one day at a 95% confidence level. The model captures both first and second order sensitivities for options. Results may vary from time to time as trading strategies change to capture potential market rate movements or hedging levels change in risk management activities. The potential change in fair value based on commodity price risk is presented in the corporate risk management and trading activities sections below.</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Financial Risk Management Activities</w:t>
      </w:r>
    </w:p>
    <w:p>
      <w:pPr>
        <w:spacing w:after="0" w:line="96" w:lineRule="exact"/>
        <w:rPr>
          <w:sz w:val="20"/>
          <w:szCs w:val="20"/>
          <w:color w:val="auto"/>
        </w:rPr>
      </w:pPr>
    </w:p>
    <w:p>
      <w:pPr>
        <w:jc w:val="both"/>
        <w:ind w:left="240" w:firstLine="223"/>
        <w:spacing w:after="0" w:line="255" w:lineRule="auto"/>
        <w:rPr>
          <w:sz w:val="20"/>
          <w:szCs w:val="20"/>
          <w:color w:val="auto"/>
        </w:rPr>
      </w:pPr>
      <w:r>
        <w:rPr>
          <w:rFonts w:ascii="Arial" w:cs="Arial" w:eastAsia="Arial" w:hAnsi="Arial"/>
          <w:sz w:val="18"/>
          <w:szCs w:val="18"/>
          <w:color w:val="auto"/>
        </w:rPr>
        <w:t>Corporate risk management activities include transactions designed to reduce risk in the selling prices of crude oil or natural gas produced by the Corporation or to reduce exposure to foreign currency or interest rate movements. Generally, futures, swaps or option strategies may be used to reduce risk in the selling price of a portion of the Corporation’s crude oil or natural gas production. Forward contracts may also be used to purchase certain currencies in which the Corporation does business with the intent of reducing exposure to foreign currency fluctuations. Interest rate swaps may also be used, generally to convert fixed-rate interest payments to floating.</w:t>
      </w:r>
    </w:p>
    <w:p>
      <w:pPr>
        <w:spacing w:after="0" w:line="143" w:lineRule="exact"/>
        <w:rPr>
          <w:sz w:val="20"/>
          <w:szCs w:val="20"/>
          <w:color w:val="auto"/>
        </w:rPr>
      </w:pPr>
    </w:p>
    <w:p>
      <w:pPr>
        <w:jc w:val="both"/>
        <w:ind w:left="240" w:firstLine="223"/>
        <w:spacing w:after="0" w:line="306" w:lineRule="auto"/>
        <w:rPr>
          <w:sz w:val="20"/>
          <w:szCs w:val="20"/>
          <w:color w:val="auto"/>
        </w:rPr>
      </w:pPr>
      <w:r>
        <w:rPr>
          <w:rFonts w:ascii="Arial" w:cs="Arial" w:eastAsia="Arial" w:hAnsi="Arial"/>
          <w:sz w:val="16"/>
          <w:szCs w:val="16"/>
          <w:color w:val="auto"/>
        </w:rPr>
        <w:t>The Corporation estimates that the value at risk for corporate risk management activities was $11 million at March 31, 2014 and $13 million at December 31, 2013, which was primarily due to the Brent crude oil cash flow hedge positions, as described in Note 15, Financial Risk Management and Trading Activities, in the Notes to the Consolidated Financial Statements. The results may vary from time to time primarily as hedge levels change.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Market Risk Disclosures (continued)</w:t>
      </w:r>
    </w:p>
    <w:p>
      <w:pPr>
        <w:spacing w:after="0" w:line="164" w:lineRule="exact"/>
        <w:rPr>
          <w:sz w:val="20"/>
          <w:szCs w:val="20"/>
          <w:color w:val="auto"/>
        </w:rPr>
      </w:pPr>
    </w:p>
    <w:p>
      <w:pPr>
        <w:jc w:val="both"/>
        <w:ind w:left="240" w:firstLine="223"/>
        <w:spacing w:after="0" w:line="255" w:lineRule="auto"/>
        <w:rPr>
          <w:sz w:val="20"/>
          <w:szCs w:val="20"/>
          <w:color w:val="auto"/>
        </w:rPr>
      </w:pPr>
      <w:r>
        <w:rPr>
          <w:rFonts w:ascii="Arial" w:cs="Arial" w:eastAsia="Arial" w:hAnsi="Arial"/>
          <w:sz w:val="18"/>
          <w:szCs w:val="18"/>
          <w:color w:val="auto"/>
        </w:rPr>
        <w:t>In the fourth quarter of 2013, the Corporation entered into Brent crude oil fixed-price swap contracts to hedge 25,000 bopd for calendar year 2014 and in the first quarter of 2014, an additional 5,000 bopd for the remainder of 2014, were hedged. These hedges are at an average price of $109.11 per barrel. The Corporation has outstanding foreign exchange contracts used to reduce its exposure to fluctuating foreign exchange rates for various currencies. The change in fair value of foreign exchange contracts from a 10% strengthening of the U.S. Dollar exchange rate is estimated to be a gain of approximately $88 million at March 31, 2014.</w:t>
      </w:r>
    </w:p>
    <w:p>
      <w:pPr>
        <w:spacing w:after="0" w:line="143" w:lineRule="exact"/>
        <w:rPr>
          <w:sz w:val="20"/>
          <w:szCs w:val="20"/>
          <w:color w:val="auto"/>
        </w:rPr>
      </w:pPr>
    </w:p>
    <w:p>
      <w:pPr>
        <w:jc w:val="both"/>
        <w:ind w:left="240" w:firstLine="223"/>
        <w:spacing w:after="0" w:line="259" w:lineRule="auto"/>
        <w:rPr>
          <w:sz w:val="20"/>
          <w:szCs w:val="20"/>
          <w:color w:val="auto"/>
        </w:rPr>
      </w:pPr>
      <w:r>
        <w:rPr>
          <w:rFonts w:ascii="Arial" w:cs="Arial" w:eastAsia="Arial" w:hAnsi="Arial"/>
          <w:sz w:val="18"/>
          <w:szCs w:val="18"/>
          <w:color w:val="auto"/>
        </w:rPr>
        <w:t>The Corporation’s outstanding long-term debt of $5,576 million, including current maturities, had a fair value of $6,734 million at March 31, 2014. A 15% decrease in the rate of interest would increase the fair value of debt by approximately $160 million at March 31, 2014. A 15% increase in the rate of interest would decrease the fair value of debt by approximately $155 million at March 31, 2014.</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Trading Activities</w:t>
      </w:r>
    </w:p>
    <w:p>
      <w:pPr>
        <w:spacing w:after="0" w:line="96" w:lineRule="exact"/>
        <w:rPr>
          <w:sz w:val="20"/>
          <w:szCs w:val="20"/>
          <w:color w:val="auto"/>
        </w:rPr>
      </w:pPr>
    </w:p>
    <w:p>
      <w:pPr>
        <w:jc w:val="both"/>
        <w:ind w:left="240" w:right="20" w:firstLine="223"/>
        <w:spacing w:after="0" w:line="332" w:lineRule="auto"/>
        <w:rPr>
          <w:sz w:val="20"/>
          <w:szCs w:val="20"/>
          <w:color w:val="auto"/>
        </w:rPr>
      </w:pPr>
      <w:r>
        <w:rPr>
          <w:rFonts w:ascii="Arial" w:cs="Arial" w:eastAsia="Arial" w:hAnsi="Arial"/>
          <w:sz w:val="16"/>
          <w:szCs w:val="16"/>
          <w:color w:val="auto"/>
        </w:rPr>
        <w:t>Trading activities are conducted through a trading partnership in which the Corporation has a 50% voting interest that is currently for sale. The partnership intends to generate earnings through various strategies primarily using energy related commodities, securities and derivatives.</w:t>
      </w:r>
    </w:p>
    <w:p>
      <w:pPr>
        <w:spacing w:after="0" w:line="85" w:lineRule="exact"/>
        <w:rPr>
          <w:sz w:val="20"/>
          <w:szCs w:val="20"/>
          <w:color w:val="auto"/>
        </w:rPr>
      </w:pPr>
    </w:p>
    <w:p>
      <w:pPr>
        <w:jc w:val="both"/>
        <w:ind w:left="240" w:firstLine="223"/>
        <w:spacing w:after="0" w:line="268" w:lineRule="auto"/>
        <w:rPr>
          <w:sz w:val="20"/>
          <w:szCs w:val="20"/>
          <w:color w:val="auto"/>
        </w:rPr>
      </w:pPr>
      <w:r>
        <w:rPr>
          <w:rFonts w:ascii="Arial" w:cs="Arial" w:eastAsia="Arial" w:hAnsi="Arial"/>
          <w:sz w:val="18"/>
          <w:szCs w:val="18"/>
          <w:color w:val="auto"/>
        </w:rPr>
        <w:t>The Corporation estimates that the value at risk for trading activities, including commodities, was $4 million at March 31, 2014 and $4 million at December 31, 2013.</w:t>
      </w:r>
    </w:p>
    <w:p>
      <w:pPr>
        <w:spacing w:after="0" w:line="132" w:lineRule="exact"/>
        <w:rPr>
          <w:sz w:val="20"/>
          <w:szCs w:val="20"/>
          <w:color w:val="auto"/>
        </w:rPr>
      </w:pPr>
    </w:p>
    <w:p>
      <w:pPr>
        <w:jc w:val="both"/>
        <w:ind w:left="240" w:firstLine="223"/>
        <w:spacing w:after="0" w:line="256" w:lineRule="auto"/>
        <w:rPr>
          <w:sz w:val="20"/>
          <w:szCs w:val="20"/>
          <w:color w:val="auto"/>
        </w:rPr>
      </w:pPr>
      <w:r>
        <w:rPr>
          <w:rFonts w:ascii="Arial" w:cs="Arial" w:eastAsia="Arial" w:hAnsi="Arial"/>
          <w:sz w:val="18"/>
          <w:szCs w:val="18"/>
          <w:color w:val="auto"/>
        </w:rPr>
        <w:t>The information that follows represents 100% of the trading partnership, as well as the Corporation’s proprietary trading accounts for 2013. Derivative trading transactions are marked-to-market and unrealized gains or losses are recognized in earnings. Gains or losses from sales of physical products are recorded at the time of sale. Net realized gains and losses from trading activities for the three months ended March 31, 2014 amounted to a gain of $101 million compared to a gain of $65 million for the corresponding period in 2013.</w:t>
      </w:r>
    </w:p>
    <w:p>
      <w:pPr>
        <w:spacing w:after="0" w:line="143" w:lineRule="exact"/>
        <w:rPr>
          <w:sz w:val="20"/>
          <w:szCs w:val="20"/>
          <w:color w:val="auto"/>
        </w:rPr>
      </w:pPr>
    </w:p>
    <w:p>
      <w:pPr>
        <w:jc w:val="both"/>
        <w:ind w:left="240" w:right="20" w:firstLine="223"/>
        <w:spacing w:after="0" w:line="268" w:lineRule="auto"/>
        <w:rPr>
          <w:sz w:val="20"/>
          <w:szCs w:val="20"/>
          <w:color w:val="auto"/>
        </w:rPr>
      </w:pPr>
      <w:r>
        <w:rPr>
          <w:rFonts w:ascii="Arial" w:cs="Arial" w:eastAsia="Arial" w:hAnsi="Arial"/>
          <w:sz w:val="18"/>
          <w:szCs w:val="18"/>
          <w:color w:val="auto"/>
        </w:rPr>
        <w:t>The following table provides an assessment of the factors affecting the changes in the fair value of net assets (liabilities) relating to financial instruments and derivative commodity contracts used in trading activities: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left="341"/>
              <w:spacing w:after="0"/>
              <w:rPr>
                <w:sz w:val="20"/>
                <w:szCs w:val="20"/>
                <w:color w:val="auto"/>
              </w:rPr>
            </w:pPr>
            <w:r>
              <w:rPr>
                <w:rFonts w:ascii="Arial" w:cs="Arial" w:eastAsia="Arial" w:hAnsi="Arial"/>
                <w:sz w:val="14"/>
                <w:szCs w:val="14"/>
                <w:b w:val="1"/>
                <w:bCs w:val="1"/>
                <w:color w:val="auto"/>
                <w:w w:val="89"/>
              </w:rPr>
              <w:t>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4"/>
          </w:tcPr>
          <w:p>
            <w:pPr>
              <w:jc w:val="center"/>
              <w:ind w:left="341"/>
              <w:spacing w:after="0" w:line="142" w:lineRule="exact"/>
              <w:rPr>
                <w:sz w:val="20"/>
                <w:szCs w:val="20"/>
                <w:color w:val="auto"/>
              </w:rPr>
            </w:pPr>
            <w:r>
              <w:rPr>
                <w:rFonts w:ascii="Arial" w:cs="Arial" w:eastAsia="Arial" w:hAnsi="Arial"/>
                <w:sz w:val="14"/>
                <w:szCs w:val="14"/>
                <w:b w:val="1"/>
                <w:bCs w:val="1"/>
                <w:color w:val="auto"/>
                <w:w w:val="89"/>
              </w:rPr>
              <w:t>(In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contracts outstanding at January 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Change in fair value of contracts outstanding at the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beginning of the year and still outstanding at March 31</w:t>
            </w: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Reversal of fair value for contracts closed during the period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Fair value of contracts entered into during the period and still outstanding</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contracts outstanding at March 31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right="20" w:firstLine="223"/>
        <w:spacing w:after="0" w:line="268" w:lineRule="auto"/>
        <w:rPr>
          <w:sz w:val="20"/>
          <w:szCs w:val="20"/>
          <w:color w:val="auto"/>
        </w:rPr>
      </w:pPr>
      <w:r>
        <w:rPr>
          <w:rFonts w:ascii="Arial" w:cs="Arial" w:eastAsia="Arial" w:hAnsi="Arial"/>
          <w:sz w:val="18"/>
          <w:szCs w:val="18"/>
          <w:color w:val="auto"/>
        </w:rPr>
        <w:t>The following table summarizes the sources of net asset (liability) fair values of financial instruments and derivative commodity contracts by year of maturity used in the Corporation’s trading activities at March 31, 2014: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2017 and</w:t>
            </w: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beyond</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Sources of fair value</w:t>
            </w:r>
          </w:p>
        </w:tc>
        <w:tc>
          <w:tcPr>
            <w:tcW w:w="2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20"/>
              <w:spacing w:after="0"/>
              <w:rPr>
                <w:sz w:val="20"/>
                <w:szCs w:val="20"/>
                <w:color w:val="auto"/>
              </w:rPr>
            </w:pPr>
            <w:r>
              <w:rPr>
                <w:rFonts w:ascii="Arial" w:cs="Arial" w:eastAsia="Arial" w:hAnsi="Arial"/>
                <w:sz w:val="18"/>
                <w:szCs w:val="18"/>
                <w:color w:val="auto"/>
              </w:rPr>
              <w:t>Level 1</w:t>
            </w:r>
          </w:p>
        </w:tc>
        <w:tc>
          <w:tcPr>
            <w:tcW w:w="27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Level 2</w:t>
            </w:r>
          </w:p>
        </w:tc>
        <w:tc>
          <w:tcPr>
            <w:tcW w:w="2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ind w:left="220"/>
              <w:spacing w:after="0"/>
              <w:rPr>
                <w:sz w:val="20"/>
                <w:szCs w:val="20"/>
                <w:color w:val="auto"/>
              </w:rPr>
            </w:pPr>
            <w:r>
              <w:rPr>
                <w:rFonts w:ascii="Arial" w:cs="Arial" w:eastAsia="Arial" w:hAnsi="Arial"/>
                <w:sz w:val="18"/>
                <w:szCs w:val="18"/>
                <w:color w:val="auto"/>
              </w:rPr>
              <w:t>Level 3</w:t>
            </w: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5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580" w:type="dxa"/>
            <w:vAlign w:val="bottom"/>
            <w:vMerge w:val="restart"/>
          </w:tcPr>
          <w:p>
            <w:pPr>
              <w:jc w:val="right"/>
              <w:ind w:right="232"/>
              <w:spacing w:after="0"/>
              <w:rPr>
                <w:sz w:val="20"/>
                <w:szCs w:val="20"/>
                <w:color w:val="auto"/>
              </w:rPr>
            </w:pPr>
            <w:r>
              <w:rPr>
                <w:rFonts w:ascii="Arial" w:cs="Arial" w:eastAsia="Arial" w:hAnsi="Arial"/>
                <w:sz w:val="18"/>
                <w:szCs w:val="18"/>
                <w:color w:val="auto"/>
              </w:rPr>
              <w:t>36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35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Market Risk Disclosures (continued)</w:t>
      </w:r>
    </w:p>
    <w:p>
      <w:pPr>
        <w:spacing w:after="0" w:line="164" w:lineRule="exact"/>
        <w:rPr>
          <w:sz w:val="20"/>
          <w:szCs w:val="20"/>
          <w:color w:val="auto"/>
        </w:rPr>
      </w:pPr>
    </w:p>
    <w:p>
      <w:pPr>
        <w:ind w:left="240" w:firstLine="223"/>
        <w:spacing w:after="0" w:line="268" w:lineRule="auto"/>
        <w:rPr>
          <w:sz w:val="20"/>
          <w:szCs w:val="20"/>
          <w:color w:val="auto"/>
        </w:rPr>
      </w:pPr>
      <w:r>
        <w:rPr>
          <w:rFonts w:ascii="Arial" w:cs="Arial" w:eastAsia="Arial" w:hAnsi="Arial"/>
          <w:sz w:val="18"/>
          <w:szCs w:val="18"/>
          <w:color w:val="auto"/>
        </w:rPr>
        <w:t>The following table summarizes the fair values of receivables net of cash margin and letters of credit relating to the Corporation’s trading activities and the credit ratings of counterparties at March 31, 2014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grade determined by outside sources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60" w:type="dxa"/>
            <w:vAlign w:val="bottom"/>
            <w:shd w:val="clear" w:color="auto" w:fill="CCEEFF"/>
          </w:tcPr>
          <w:p>
            <w:pPr>
              <w:spacing w:after="0"/>
              <w:rPr>
                <w:sz w:val="18"/>
                <w:szCs w:val="18"/>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Investment grade determined internally*</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18"/>
                <w:szCs w:val="18"/>
                <w:color w:val="auto"/>
              </w:rPr>
            </w:pPr>
          </w:p>
        </w:tc>
      </w:tr>
      <w:tr>
        <w:trPr>
          <w:trHeight w:val="216"/>
        </w:trPr>
        <w:tc>
          <w:tcPr>
            <w:tcW w:w="10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investment grade</w:t>
            </w:r>
          </w:p>
        </w:tc>
        <w:tc>
          <w:tcPr>
            <w:tcW w:w="3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r>
      <w:tr>
        <w:trPr>
          <w:trHeight w:val="222"/>
        </w:trPr>
        <w:tc>
          <w:tcPr>
            <w:tcW w:w="10480" w:type="dxa"/>
            <w:vAlign w:val="bottom"/>
            <w:gridSpan w:val="2"/>
          </w:tcPr>
          <w:p>
            <w:pPr>
              <w:ind w:left="220"/>
              <w:spacing w:after="0"/>
              <w:rPr>
                <w:sz w:val="20"/>
                <w:szCs w:val="20"/>
                <w:color w:val="auto"/>
              </w:rPr>
            </w:pPr>
            <w:r>
              <w:rPr>
                <w:rFonts w:ascii="Arial" w:cs="Arial" w:eastAsia="Arial" w:hAnsi="Arial"/>
                <w:sz w:val="18"/>
                <w:szCs w:val="18"/>
                <w:color w:val="auto"/>
              </w:rPr>
              <w:t>Fair value of net receivables outstanding at end of period</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60" w:type="dxa"/>
            <w:vAlign w:val="bottom"/>
          </w:tcPr>
          <w:p>
            <w:pPr>
              <w:spacing w:after="0"/>
              <w:rPr>
                <w:sz w:val="19"/>
                <w:szCs w:val="19"/>
                <w:color w:val="auto"/>
              </w:rPr>
            </w:pPr>
          </w:p>
        </w:tc>
      </w:tr>
      <w:tr>
        <w:trPr>
          <w:trHeight w:val="20"/>
        </w:trPr>
        <w:tc>
          <w:tcPr>
            <w:tcW w:w="240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2400" w:type="dxa"/>
            <w:vAlign w:val="bottom"/>
            <w:tcBorders>
              <w:bottom w:val="single" w:sz="8" w:color="auto"/>
            </w:tcBorders>
          </w:tcPr>
          <w:p>
            <w:pPr>
              <w:spacing w:after="0"/>
              <w:rPr>
                <w:sz w:val="8"/>
                <w:szCs w:val="8"/>
                <w:color w:val="auto"/>
              </w:rPr>
            </w:pPr>
          </w:p>
        </w:tc>
        <w:tc>
          <w:tcPr>
            <w:tcW w:w="8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6"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i w:val="1"/>
          <w:iCs w:val="1"/>
          <w:color w:val="auto"/>
        </w:rPr>
        <w:t>Based on information provided by counterparties and other available sources.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Forward-looking Information</w:t>
      </w:r>
    </w:p>
    <w:p>
      <w:pPr>
        <w:spacing w:after="0" w:line="96" w:lineRule="exact"/>
        <w:rPr>
          <w:sz w:val="20"/>
          <w:szCs w:val="20"/>
          <w:color w:val="auto"/>
        </w:rPr>
      </w:pPr>
    </w:p>
    <w:p>
      <w:pPr>
        <w:jc w:val="both"/>
        <w:ind w:left="240" w:firstLine="223"/>
        <w:spacing w:after="0" w:line="253" w:lineRule="auto"/>
        <w:rPr>
          <w:sz w:val="20"/>
          <w:szCs w:val="20"/>
          <w:color w:val="auto"/>
        </w:rPr>
      </w:pPr>
      <w:r>
        <w:rPr>
          <w:rFonts w:ascii="Arial" w:cs="Arial" w:eastAsia="Arial" w:hAnsi="Arial"/>
          <w:sz w:val="18"/>
          <w:szCs w:val="18"/>
          <w:color w:val="auto"/>
        </w:rPr>
        <w:t>Certain sections of Management’s Discussion and Analysis of Financial Condition and Results of Operations, including references to the Corporation’s future results of operations and financial position, liquidity and capital resources, capital expenditures, asset sales, oil and gas production, tax rates, debt repayment, hedging, derivative, market risk disclosures and off-balance sheet arrangements, include forward-looking information. These sections typically include statements with words such as “anticipate,” “estimate,” “expect,” “forecast,” “guidance,” “could,” “may,” “should,” “would” or similar words, indicating that future outcomes are uncertain. Forward-looking disclosures are based on the Corporation’s current understanding and assessment of these activities and reasonable assumptions about the future. Actual results may differ from these disclosures because of changes in market conditions, government actions and other factors.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PART I — FINANCIAL INFORMATION (CONT’D.)</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left="920"/>
        <w:spacing w:after="0" w:line="268" w:lineRule="auto"/>
        <w:rPr>
          <w:sz w:val="20"/>
          <w:szCs w:val="20"/>
          <w:color w:val="auto"/>
        </w:rPr>
      </w:pPr>
      <w:r>
        <w:rPr>
          <w:rFonts w:ascii="Arial" w:cs="Arial" w:eastAsia="Arial" w:hAnsi="Arial"/>
          <w:sz w:val="18"/>
          <w:szCs w:val="18"/>
          <w:color w:val="auto"/>
        </w:rPr>
        <w:t>The information required by this item is presented under Item 2, “Management’s Discussion and Analysis of Financial Condition and Results of Operations — Market Risk Disclosures.”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Based upon their evaluation of the Corporation’s disclosure controls and procedures (as defined in Exchange Act Rules 13a-15(e) and 15d-15(e)) as of March 31, 2014, John B. Hess, Chief Executive Officer, and John P. Rielly, Chief Financial Officer, concluded that these disclosure controls and procedures were effective as of March 31, 2014.</w:t>
      </w:r>
    </w:p>
    <w:p>
      <w:pPr>
        <w:spacing w:after="0" w:line="59"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There was no change in internal control over financial reporting identified in connection with the evaluation required by paragraph (d) of Rules 13a-15 or 15d-15 in the quarter ended March 31, 2014 that has materially affected, or is reasonably likely to materially affect,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jc w:val="both"/>
        <w:ind w:left="920"/>
        <w:spacing w:after="0" w:line="287" w:lineRule="auto"/>
        <w:rPr>
          <w:sz w:val="20"/>
          <w:szCs w:val="20"/>
          <w:color w:val="auto"/>
        </w:rPr>
      </w:pPr>
      <w:r>
        <w:rPr>
          <w:rFonts w:ascii="Arial" w:cs="Arial" w:eastAsia="Arial" w:hAnsi="Arial"/>
          <w:sz w:val="16"/>
          <w:szCs w:val="16"/>
          <w:color w:val="auto"/>
        </w:rPr>
        <w:t>The Corporation, along with many other companies engaged in refining and marketing of gasoline, has been a party to lawsuits and claims related to the use of methyl tertiary butyl ether (MTBE) in gasoline. A series of similar lawsuits, many involving water utilities or governmental entities, were filed in jurisdictions across the U.S. against producers of MTBE and petroleum refiners who produced gasoline containing MTBE, including the Corporation. The principal allegation in all cases was that gasoline containing MTBE is a defective product and that these parties are strictly liable in proportion to their share of the gasoline market for damage to groundwater resources and are required to take remedial action to ameliorate the alleged effects on the environment of releases of MTBE. In 2008, the majority of the cases against the Corporation were settled. In 2010 and 2011, additional cases were settled including an action brought in state court by the State of New Hampshire, but cases brought by the State of New Jersey and the Commonwealth of Puerto Rico remained unresolved at year-end 2013. In March 2014, the Corporation agreed to settle claims against it arising out of the New Jersey action for approximately $35 million. The settlement is subject to completion of a 30 day notice and comment period and entry of the settlement by the trial judge. The Corporation has reserves to fully cover this settlement amount.</w:t>
      </w:r>
    </w:p>
    <w:p>
      <w:pPr>
        <w:spacing w:after="0" w:line="15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Share Repurchase Activities.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Corporation’s share repurchase activities for the three months ended March 31, 2014,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10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Dollar Value of</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60" w:type="dxa"/>
            <w:vAlign w:val="bottom"/>
          </w:tcPr>
          <w:p>
            <w:pPr>
              <w:spacing w:after="0"/>
              <w:rPr>
                <w:sz w:val="12"/>
                <w:szCs w:val="12"/>
                <w:color w:val="auto"/>
              </w:rPr>
            </w:pPr>
          </w:p>
        </w:tc>
        <w:tc>
          <w:tcPr>
            <w:tcW w:w="10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Shares that May</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0"/>
              </w:rPr>
              <w:t>Yet be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160" w:type="dxa"/>
            <w:vAlign w:val="bottom"/>
          </w:tcPr>
          <w:p>
            <w:pPr>
              <w:spacing w:after="0"/>
              <w:rPr>
                <w:sz w:val="12"/>
                <w:szCs w:val="12"/>
                <w:color w:val="auto"/>
              </w:rPr>
            </w:pPr>
          </w:p>
        </w:tc>
        <w:tc>
          <w:tcPr>
            <w:tcW w:w="10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Under the Plans</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2014</w:t>
            </w:r>
          </w:p>
        </w:tc>
        <w:tc>
          <w:tcPr>
            <w:tcW w:w="21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Paid per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160" w:type="dxa"/>
            <w:vAlign w:val="bottom"/>
          </w:tcPr>
          <w:p>
            <w:pPr>
              <w:spacing w:after="0"/>
              <w:rPr>
                <w:sz w:val="12"/>
                <w:szCs w:val="12"/>
                <w:color w:val="auto"/>
              </w:rPr>
            </w:pPr>
          </w:p>
        </w:tc>
        <w:tc>
          <w:tcPr>
            <w:tcW w:w="10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or Programs (b)</w:t>
            </w:r>
          </w:p>
        </w:tc>
        <w:tc>
          <w:tcPr>
            <w:tcW w:w="0" w:type="dxa"/>
            <w:vAlign w:val="bottom"/>
          </w:tcPr>
          <w:p>
            <w:pPr>
              <w:spacing w:after="0"/>
              <w:rPr>
                <w:sz w:val="1"/>
                <w:szCs w:val="1"/>
                <w:color w:val="auto"/>
              </w:rPr>
            </w:pPr>
          </w:p>
        </w:tc>
      </w:tr>
      <w:tr>
        <w:trPr>
          <w:trHeight w:val="168"/>
        </w:trPr>
        <w:tc>
          <w:tcPr>
            <w:tcW w:w="300" w:type="dxa"/>
            <w:vAlign w:val="bottom"/>
            <w:tcBorders>
              <w:bottom w:val="single" w:sz="8" w:color="auto"/>
            </w:tcBorders>
            <w:vMerge w:val="continue"/>
          </w:tcPr>
          <w:p>
            <w:pPr>
              <w:spacing w:after="0"/>
              <w:rPr>
                <w:sz w:val="14"/>
                <w:szCs w:val="14"/>
                <w:color w:val="auto"/>
              </w:rPr>
            </w:pPr>
          </w:p>
        </w:tc>
        <w:tc>
          <w:tcPr>
            <w:tcW w:w="21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Purchased (a)</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7"/>
              </w:rPr>
              <w:t>Share</w:t>
            </w: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Programs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03"/>
        </w:trPr>
        <w:tc>
          <w:tcPr>
            <w:tcW w:w="73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January</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4,433,061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78.95</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4,433,061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gridSpan w:val="3"/>
          </w:tcPr>
          <w:p>
            <w:pPr>
              <w:spacing w:after="0"/>
              <w:rPr>
                <w:sz w:val="20"/>
                <w:szCs w:val="20"/>
                <w:color w:val="auto"/>
              </w:rPr>
            </w:pPr>
            <w:r>
              <w:rPr>
                <w:rFonts w:ascii="Arial" w:cs="Arial" w:eastAsia="Arial" w:hAnsi="Arial"/>
                <w:sz w:val="18"/>
                <w:szCs w:val="18"/>
                <w:color w:val="auto"/>
              </w:rPr>
              <w:t>February</w:t>
            </w:r>
          </w:p>
        </w:tc>
        <w:tc>
          <w:tcPr>
            <w:tcW w:w="860" w:type="dxa"/>
            <w:vAlign w:val="bottom"/>
          </w:tcPr>
          <w:p>
            <w:pPr>
              <w:jc w:val="right"/>
              <w:spacing w:after="0"/>
              <w:rPr>
                <w:sz w:val="20"/>
                <w:szCs w:val="20"/>
                <w:color w:val="auto"/>
              </w:rPr>
            </w:pPr>
            <w:r>
              <w:rPr>
                <w:rFonts w:ascii="Arial" w:cs="Arial" w:eastAsia="Arial" w:hAnsi="Arial"/>
                <w:sz w:val="18"/>
                <w:szCs w:val="18"/>
                <w:color w:val="auto"/>
              </w:rPr>
              <w:t>4,468,163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78.33</w:t>
            </w:r>
          </w:p>
        </w:tc>
        <w:tc>
          <w:tcPr>
            <w:tcW w:w="840" w:type="dxa"/>
            <w:vAlign w:val="bottom"/>
          </w:tcPr>
          <w:p>
            <w:pPr>
              <w:jc w:val="right"/>
              <w:spacing w:after="0"/>
              <w:rPr>
                <w:sz w:val="20"/>
                <w:szCs w:val="20"/>
                <w:color w:val="auto"/>
              </w:rPr>
            </w:pPr>
            <w:r>
              <w:rPr>
                <w:rFonts w:ascii="Arial" w:cs="Arial" w:eastAsia="Arial" w:hAnsi="Arial"/>
                <w:sz w:val="18"/>
                <w:szCs w:val="18"/>
                <w:color w:val="auto"/>
              </w:rPr>
              <w:t>4,468,163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16"/>
        </w:trPr>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3,675,267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3,675,267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22"/>
        </w:trPr>
        <w:tc>
          <w:tcPr>
            <w:tcW w:w="7340" w:type="dxa"/>
            <w:vAlign w:val="bottom"/>
            <w:gridSpan w:val="3"/>
          </w:tcPr>
          <w:p>
            <w:pPr>
              <w:spacing w:after="0"/>
              <w:rPr>
                <w:sz w:val="20"/>
                <w:szCs w:val="20"/>
                <w:color w:val="auto"/>
              </w:rPr>
            </w:pPr>
            <w:r>
              <w:rPr>
                <w:rFonts w:ascii="Arial" w:cs="Arial" w:eastAsia="Arial" w:hAnsi="Arial"/>
                <w:sz w:val="18"/>
                <w:szCs w:val="18"/>
                <w:color w:val="auto"/>
              </w:rPr>
              <w:t>Total for 2014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12,576,491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79.33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12,576,491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0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Repurchased in open-market transactions. The average price paid per share was inclusive of transaction fees.</w:t>
      </w:r>
    </w:p>
    <w:p>
      <w:pPr>
        <w:ind w:left="340" w:hanging="332"/>
        <w:spacing w:after="0"/>
        <w:tabs>
          <w:tab w:leader="none" w:pos="3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In March 2013, the Corporation announced a board authorized plan to repurchase up to $4 billion of outstanding common shares. The program commenced in August 2013.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 — OTHER INFORMATION (CONT’D.)</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Reports on Form 8-K.</w:t>
      </w:r>
    </w:p>
    <w:p>
      <w:pPr>
        <w:spacing w:after="0" w:line="96" w:lineRule="exact"/>
        <w:rPr>
          <w:sz w:val="20"/>
          <w:szCs w:val="20"/>
          <w:color w:val="auto"/>
        </w:rPr>
      </w:pPr>
    </w:p>
    <w:p>
      <w:pPr>
        <w:ind w:left="1480" w:hanging="56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9400" w:type="dxa"/>
            <w:vAlign w:val="bottom"/>
          </w:tcPr>
          <w:p>
            <w:pPr>
              <w:ind w:left="280"/>
              <w:spacing w:after="0"/>
              <w:rPr>
                <w:sz w:val="20"/>
                <w:szCs w:val="20"/>
                <w:color w:val="auto"/>
              </w:rPr>
            </w:pPr>
            <w:r>
              <w:rPr>
                <w:rFonts w:ascii="Arial" w:cs="Arial" w:eastAsia="Arial" w:hAnsi="Arial"/>
                <w:sz w:val="18"/>
                <w:szCs w:val="18"/>
                <w:color w:val="auto"/>
              </w:rPr>
              <w:t>Form of Performance Award Agreement for three-year period ending December 31, 2016.</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9400" w:type="dxa"/>
            <w:vAlign w:val="bottom"/>
          </w:tcPr>
          <w:p>
            <w:pPr>
              <w:ind w:left="280"/>
              <w:spacing w:after="0"/>
              <w:rPr>
                <w:sz w:val="20"/>
                <w:szCs w:val="20"/>
                <w:color w:val="auto"/>
              </w:rPr>
            </w:pPr>
            <w:r>
              <w:rPr>
                <w:rFonts w:ascii="Arial" w:cs="Arial" w:eastAsia="Arial" w:hAnsi="Arial"/>
                <w:sz w:val="18"/>
                <w:szCs w:val="18"/>
                <w:color w:val="auto"/>
              </w:rPr>
              <w:t>Certification required by Rule 13a-14(a) (17 CFR 240.13a-14(a)) or Rule 15d-14(a) (17 CFR 240.15d-14(a)).</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9400" w:type="dxa"/>
            <w:vAlign w:val="bottom"/>
          </w:tcPr>
          <w:p>
            <w:pPr>
              <w:ind w:left="280"/>
              <w:spacing w:after="0"/>
              <w:rPr>
                <w:sz w:val="20"/>
                <w:szCs w:val="20"/>
                <w:color w:val="auto"/>
              </w:rPr>
            </w:pPr>
            <w:r>
              <w:rPr>
                <w:rFonts w:ascii="Arial" w:cs="Arial" w:eastAsia="Arial" w:hAnsi="Arial"/>
                <w:sz w:val="18"/>
                <w:szCs w:val="18"/>
                <w:color w:val="auto"/>
              </w:rPr>
              <w:t>Certification required by Rule 13a-14(a) (17 CFR 240.13a-14(a)) or Rule 15d-14(a) (17 CFR 240.15d-14(a)).</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9400" w:type="dxa"/>
            <w:vAlign w:val="bottom"/>
          </w:tcPr>
          <w:p>
            <w:pPr>
              <w:ind w:left="280"/>
              <w:spacing w:after="0"/>
              <w:rPr>
                <w:sz w:val="20"/>
                <w:szCs w:val="20"/>
                <w:color w:val="auto"/>
              </w:rPr>
            </w:pPr>
            <w:r>
              <w:rPr>
                <w:rFonts w:ascii="Arial" w:cs="Arial" w:eastAsia="Arial" w:hAnsi="Arial"/>
                <w:sz w:val="18"/>
                <w:szCs w:val="18"/>
                <w:color w:val="auto"/>
                <w:w w:val="89"/>
              </w:rPr>
              <w:t>Certification required by Rule 13a-14(b) (17 CFR 240.13a-14(b)) or Rule 15d-14(b) (17 CFR 240.15d-14(b)) and Section 1350 of</w:t>
            </w:r>
          </w:p>
        </w:tc>
      </w:tr>
      <w:tr>
        <w:trPr>
          <w:trHeight w:val="222"/>
        </w:trPr>
        <w:tc>
          <w:tcPr>
            <w:tcW w:w="1000" w:type="dxa"/>
            <w:vAlign w:val="bottom"/>
          </w:tcPr>
          <w:p>
            <w:pPr>
              <w:spacing w:after="0"/>
              <w:rPr>
                <w:sz w:val="19"/>
                <w:szCs w:val="19"/>
                <w:color w:val="auto"/>
              </w:rPr>
            </w:pPr>
          </w:p>
        </w:tc>
        <w:tc>
          <w:tcPr>
            <w:tcW w:w="9400" w:type="dxa"/>
            <w:vAlign w:val="bottom"/>
          </w:tcPr>
          <w:p>
            <w:pPr>
              <w:ind w:left="280"/>
              <w:spacing w:after="0"/>
              <w:rPr>
                <w:sz w:val="20"/>
                <w:szCs w:val="20"/>
                <w:color w:val="auto"/>
              </w:rPr>
            </w:pPr>
            <w:r>
              <w:rPr>
                <w:rFonts w:ascii="Arial" w:cs="Arial" w:eastAsia="Arial" w:hAnsi="Arial"/>
                <w:sz w:val="18"/>
                <w:szCs w:val="18"/>
                <w:color w:val="auto"/>
              </w:rPr>
              <w:t>Chapter 63 of Title 18 of the United States Code (18 U.S.C. 1350).</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9400" w:type="dxa"/>
            <w:vAlign w:val="bottom"/>
          </w:tcPr>
          <w:p>
            <w:pPr>
              <w:ind w:left="280"/>
              <w:spacing w:after="0"/>
              <w:rPr>
                <w:sz w:val="20"/>
                <w:szCs w:val="20"/>
                <w:color w:val="auto"/>
              </w:rPr>
            </w:pPr>
            <w:r>
              <w:rPr>
                <w:rFonts w:ascii="Arial" w:cs="Arial" w:eastAsia="Arial" w:hAnsi="Arial"/>
                <w:sz w:val="18"/>
                <w:szCs w:val="18"/>
                <w:color w:val="auto"/>
                <w:w w:val="89"/>
              </w:rPr>
              <w:t>Certification required by Rule 13a-14(b) (17 CFR 240.13a-14(b)) or Rule 15d-14(b) (17 CFR 240.15d-14(b)) and Section 1350 of</w:t>
            </w:r>
          </w:p>
        </w:tc>
      </w:tr>
      <w:tr>
        <w:trPr>
          <w:trHeight w:val="222"/>
        </w:trPr>
        <w:tc>
          <w:tcPr>
            <w:tcW w:w="1000" w:type="dxa"/>
            <w:vAlign w:val="bottom"/>
          </w:tcPr>
          <w:p>
            <w:pPr>
              <w:spacing w:after="0"/>
              <w:rPr>
                <w:sz w:val="19"/>
                <w:szCs w:val="19"/>
                <w:color w:val="auto"/>
              </w:rPr>
            </w:pPr>
          </w:p>
        </w:tc>
        <w:tc>
          <w:tcPr>
            <w:tcW w:w="9400" w:type="dxa"/>
            <w:vAlign w:val="bottom"/>
          </w:tcPr>
          <w:p>
            <w:pPr>
              <w:ind w:left="280"/>
              <w:spacing w:after="0"/>
              <w:rPr>
                <w:sz w:val="20"/>
                <w:szCs w:val="20"/>
                <w:color w:val="auto"/>
              </w:rPr>
            </w:pPr>
            <w:r>
              <w:rPr>
                <w:rFonts w:ascii="Arial" w:cs="Arial" w:eastAsia="Arial" w:hAnsi="Arial"/>
                <w:sz w:val="18"/>
                <w:szCs w:val="18"/>
                <w:color w:val="auto"/>
              </w:rPr>
              <w:t>Chapter 63 of Title 18 of the United States Code (18 U.S.C. 1350).</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940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400" w:type="dxa"/>
            <w:vAlign w:val="bottom"/>
          </w:tcPr>
          <w:p>
            <w:pPr>
              <w:ind w:left="280"/>
              <w:spacing w:after="0"/>
              <w:rPr>
                <w:sz w:val="20"/>
                <w:szCs w:val="20"/>
                <w:color w:val="auto"/>
              </w:rPr>
            </w:pPr>
            <w:r>
              <w:rPr>
                <w:rFonts w:ascii="Arial" w:cs="Arial" w:eastAsia="Arial" w:hAnsi="Arial"/>
                <w:sz w:val="18"/>
                <w:szCs w:val="18"/>
                <w:color w:val="auto"/>
              </w:rPr>
              <w:t>XBRL Schema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400" w:type="dxa"/>
            <w:vAlign w:val="bottom"/>
          </w:tcPr>
          <w:p>
            <w:pPr>
              <w:ind w:left="280"/>
              <w:spacing w:after="0"/>
              <w:rPr>
                <w:sz w:val="20"/>
                <w:szCs w:val="20"/>
                <w:color w:val="auto"/>
              </w:rPr>
            </w:pPr>
            <w:r>
              <w:rPr>
                <w:rFonts w:ascii="Arial" w:cs="Arial" w:eastAsia="Arial" w:hAnsi="Arial"/>
                <w:sz w:val="18"/>
                <w:szCs w:val="18"/>
                <w:color w:val="auto"/>
              </w:rPr>
              <w:t>XBRL Calculation Linkbase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400" w:type="dxa"/>
            <w:vAlign w:val="bottom"/>
          </w:tcPr>
          <w:p>
            <w:pPr>
              <w:ind w:left="280"/>
              <w:spacing w:after="0"/>
              <w:rPr>
                <w:sz w:val="20"/>
                <w:szCs w:val="20"/>
                <w:color w:val="auto"/>
              </w:rPr>
            </w:pPr>
            <w:r>
              <w:rPr>
                <w:rFonts w:ascii="Arial" w:cs="Arial" w:eastAsia="Arial" w:hAnsi="Arial"/>
                <w:sz w:val="18"/>
                <w:szCs w:val="18"/>
                <w:color w:val="auto"/>
              </w:rPr>
              <w:t>XBRL Labels Linkbase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400" w:type="dxa"/>
            <w:vAlign w:val="bottom"/>
          </w:tcPr>
          <w:p>
            <w:pPr>
              <w:ind w:left="280"/>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400" w:type="dxa"/>
            <w:vAlign w:val="bottom"/>
          </w:tcPr>
          <w:p>
            <w:pPr>
              <w:ind w:left="280"/>
              <w:spacing w:after="0"/>
              <w:rPr>
                <w:sz w:val="20"/>
                <w:szCs w:val="20"/>
                <w:color w:val="auto"/>
              </w:rPr>
            </w:pPr>
            <w:r>
              <w:rPr>
                <w:rFonts w:ascii="Arial" w:cs="Arial" w:eastAsia="Arial" w:hAnsi="Arial"/>
                <w:sz w:val="18"/>
                <w:szCs w:val="18"/>
                <w:color w:val="auto"/>
              </w:rPr>
              <w:t>XBRL Definition Linkbase Document</w:t>
            </w:r>
          </w:p>
        </w:tc>
      </w:tr>
    </w:tbl>
    <w:p>
      <w:pPr>
        <w:spacing w:after="0" w:line="196" w:lineRule="exact"/>
        <w:rPr>
          <w:sz w:val="20"/>
          <w:szCs w:val="20"/>
          <w:color w:val="auto"/>
        </w:rPr>
      </w:pPr>
    </w:p>
    <w:p>
      <w:pPr>
        <w:ind w:left="1480" w:hanging="567"/>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Reports on Form 8-K</w:t>
      </w:r>
    </w:p>
    <w:p>
      <w:pPr>
        <w:spacing w:after="0" w:line="90"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During the quarter ended March 31, 2014, Registrant filed the following reports on Form 8-K:</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Filing dated January 7, 2014 reporting under Item 5.02 reporting departure of directors or certain officers.</w:t>
      </w:r>
    </w:p>
    <w:p>
      <w:pPr>
        <w:spacing w:after="0" w:line="90" w:lineRule="exact"/>
        <w:rPr>
          <w:rFonts w:ascii="Arial" w:cs="Arial" w:eastAsia="Arial" w:hAnsi="Arial"/>
          <w:sz w:val="18"/>
          <w:szCs w:val="18"/>
          <w:color w:val="auto"/>
        </w:rPr>
      </w:pPr>
    </w:p>
    <w:p>
      <w:pPr>
        <w:ind w:left="1920" w:hanging="440"/>
        <w:spacing w:after="0" w:line="268" w:lineRule="auto"/>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Filing dated January 29, 2014 reporting under Items 2.02 and 9.01 a news release dated January 29, 2014 reporting results for the fourth quarter of 2013.</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Filing dated March 10, 2014 reporting under Item 5.02 reporting compensatory arrangements of certain officers.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Filing dated March 11, 2014 reporting under Item 5.02 departure of directors or certain officers; election of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HESS CORPORATION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B.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JOHN B. HESS</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P. Rielly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JOHN P. RIELLY</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8, 2014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HESS CORPORATION 2008 LONG-TERM INCENTIVE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Award Agreement</w:t>
      </w:r>
    </w:p>
    <w:p>
      <w:pPr>
        <w:sectPr>
          <w:pgSz w:w="11900" w:h="16838" w:orient="portrait"/>
          <w:cols w:equalWidth="0" w:num="1">
            <w:col w:w="11420"/>
          </w:cols>
          <w:pgMar w:left="240" w:top="121"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Participant: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FIRST NAME – LAST NAME</w:t>
      </w:r>
    </w:p>
    <w:p>
      <w:pPr>
        <w:spacing w:after="0" w:line="200" w:lineRule="exact"/>
        <w:rPr>
          <w:sz w:val="20"/>
          <w:szCs w:val="20"/>
          <w:color w:val="auto"/>
        </w:rPr>
      </w:pPr>
    </w:p>
    <w:p>
      <w:pPr>
        <w:sectPr>
          <w:pgSz w:w="11900" w:h="16838" w:orient="portrait"/>
          <w:cols w:equalWidth="0" w:num="2">
            <w:col w:w="3240" w:space="720"/>
            <w:col w:w="7460"/>
          </w:cols>
          <w:pgMar w:left="240" w:top="12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Grant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0" w:lineRule="exact"/>
        <w:rPr>
          <w:sz w:val="20"/>
          <w:szCs w:val="20"/>
          <w:color w:val="auto"/>
        </w:rPr>
      </w:pPr>
    </w:p>
    <w:p>
      <w:pPr>
        <w:sectPr>
          <w:pgSz w:w="11900" w:h="16838" w:orient="portrait"/>
          <w:cols w:equalWidth="0" w:num="2">
            <w:col w:w="3240" w:space="720"/>
            <w:col w:w="7460"/>
          </w:cols>
          <w:pgMar w:left="240" w:top="12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Number of Performance Shares: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 OF PERFORMANCE SHARE UNITS</w:t>
      </w:r>
    </w:p>
    <w:p>
      <w:pPr>
        <w:spacing w:after="0" w:line="200" w:lineRule="exact"/>
        <w:rPr>
          <w:sz w:val="20"/>
          <w:szCs w:val="20"/>
          <w:color w:val="auto"/>
        </w:rPr>
      </w:pPr>
    </w:p>
    <w:p>
      <w:pPr>
        <w:sectPr>
          <w:pgSz w:w="11900" w:h="16838" w:orient="portrait"/>
          <w:cols w:equalWidth="0" w:num="2">
            <w:col w:w="3240" w:space="720"/>
            <w:col w:w="7460"/>
          </w:cols>
          <w:pgMar w:left="240" w:top="121" w:right="239" w:bottom="1440" w:gutter="0" w:footer="0" w:header="0"/>
          <w:type w:val="continuous"/>
        </w:sectPr>
      </w:pP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ectPr>
          <w:pgSz w:w="11900" w:h="16838" w:orient="portrait"/>
          <w:cols w:equalWidth="0" w:num="1">
            <w:col w:w="11420"/>
          </w:cols>
          <w:pgMar w:left="240" w:top="121" w:right="239" w:bottom="1440" w:gutter="0" w:footer="0" w:header="0"/>
          <w:type w:val="continuous"/>
        </w:sectPr>
      </w:pPr>
    </w:p>
    <w:p>
      <w:pPr>
        <w:spacing w:after="0" w:line="225" w:lineRule="exact"/>
        <w:rPr>
          <w:sz w:val="20"/>
          <w:szCs w:val="20"/>
          <w:color w:val="auto"/>
        </w:rPr>
      </w:pPr>
    </w:p>
    <w:p>
      <w:pPr>
        <w:jc w:val="both"/>
        <w:ind w:right="100" w:firstLine="913"/>
        <w:spacing w:after="0" w:line="286" w:lineRule="auto"/>
        <w:rPr>
          <w:sz w:val="20"/>
          <w:szCs w:val="20"/>
          <w:color w:val="auto"/>
        </w:rPr>
      </w:pPr>
      <w:r>
        <w:rPr>
          <w:rFonts w:ascii="Arial" w:cs="Arial" w:eastAsia="Arial" w:hAnsi="Arial"/>
          <w:sz w:val="17"/>
          <w:szCs w:val="17"/>
          <w:color w:val="auto"/>
        </w:rPr>
        <w:t>This PERFORMANCE AWARD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the Grant Date specified above, is entered into by and between HESS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and the Participant specified above, pursuant to the Shareholder Value Program under the Hess Corporation 2008 Long-Term Incentive Plan, as in effect and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w:t>
      </w:r>
    </w:p>
    <w:p>
      <w:pPr>
        <w:spacing w:after="0" w:line="166" w:lineRule="exact"/>
        <w:rPr>
          <w:sz w:val="20"/>
          <w:szCs w:val="20"/>
          <w:color w:val="auto"/>
        </w:rPr>
      </w:pPr>
    </w:p>
    <w:p>
      <w:pPr>
        <w:jc w:val="both"/>
        <w:ind w:right="500" w:firstLine="913"/>
        <w:spacing w:after="0" w:line="264" w:lineRule="auto"/>
        <w:rPr>
          <w:sz w:val="20"/>
          <w:szCs w:val="20"/>
          <w:color w:val="auto"/>
        </w:rPr>
      </w:pPr>
      <w:r>
        <w:rPr>
          <w:rFonts w:ascii="Arial" w:cs="Arial" w:eastAsia="Arial" w:hAnsi="Arial"/>
          <w:sz w:val="18"/>
          <w:szCs w:val="18"/>
          <w:color w:val="auto"/>
        </w:rPr>
        <w:t>WHEREAS, it has been determined under the Plan that it would be in the best interests of the Corporation to grant the Performance Award provided for herein to the Participant as an inducement to remain in the employment of the Corporation (and/or any Subsidiary), and as an incentive for improved performance toward corporate goals during such employment;</w:t>
      </w:r>
    </w:p>
    <w:p>
      <w:pPr>
        <w:spacing w:after="0" w:line="181"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WHEREAS, pursuant to the provisions of the Plan, the Committee has authorized the grant to the Participant of a Performance Award in accordance with the terms and conditions of this Agreement; and</w:t>
      </w:r>
    </w:p>
    <w:p>
      <w:pPr>
        <w:spacing w:after="0" w:line="170"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WHEREAS, the Participant and the Corporation desire to enter into this Agreement to evidence and confirm the grant of such Performance Award on the terms and conditions set forth herein.</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NOW, THEREFORE, in consideration of the mutual covenants and premises hereinafter set forth and for other good and valuable consideration, the parties hereto hereby mutually covenant and agree as follows.</w:t>
      </w:r>
    </w:p>
    <w:p>
      <w:pPr>
        <w:spacing w:after="0" w:line="170" w:lineRule="exact"/>
        <w:rPr>
          <w:sz w:val="20"/>
          <w:szCs w:val="20"/>
          <w:color w:val="auto"/>
        </w:rPr>
      </w:pPr>
    </w:p>
    <w:p>
      <w:pPr>
        <w:ind w:right="140" w:firstLine="921"/>
        <w:spacing w:after="0" w:line="293" w:lineRule="auto"/>
        <w:tabs>
          <w:tab w:leader="none" w:pos="1093"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Incorporation By Reference; Document Receipt</w:t>
      </w:r>
      <w:r>
        <w:rPr>
          <w:rFonts w:ascii="Arial" w:cs="Arial" w:eastAsia="Arial" w:hAnsi="Arial"/>
          <w:sz w:val="16"/>
          <w:szCs w:val="16"/>
          <w:color w:val="auto"/>
        </w:rPr>
        <w:t xml:space="preserve">. This Agreement is subject in all respects to the terms and provisions of the Plan (including, without limitation, any amendments thereto adopted at any time and from time to time unless such amendments are expressly not intended to apply to the grant of the Performance Award hereunder), all of which terms and provisions are made a part of and incorporated in this Agreement as if each were expressly set forth </w:t>
      </w:r>
      <w:r>
        <w:rPr>
          <w:rFonts w:ascii="Arial" w:cs="Arial" w:eastAsia="Arial" w:hAnsi="Arial"/>
          <w:sz w:val="16"/>
          <w:szCs w:val="16"/>
          <w:u w:val="single" w:color="auto"/>
          <w:color w:val="auto"/>
        </w:rPr>
        <w:t>mutatis mutandis</w:t>
      </w:r>
      <w:r>
        <w:rPr>
          <w:rFonts w:ascii="Arial" w:cs="Arial" w:eastAsia="Arial" w:hAnsi="Arial"/>
          <w:sz w:val="16"/>
          <w:szCs w:val="16"/>
          <w:color w:val="auto"/>
        </w:rPr>
        <w:t xml:space="preserve"> herein. Any capitalized term not defined in this Agreement shall have the same meaning as is ascribed thereto under the Plan. The Participant hereby acknowledges receipt of a prospectus describing the Plan and the Awards thereunder and that he has read it carefully and fully understands its content. In the event of any conflict between the terms of this Agreement and the terms of the Plan, the terms of the Plan shall control.</w:t>
      </w:r>
    </w:p>
    <w:p>
      <w:pPr>
        <w:sectPr>
          <w:pgSz w:w="11900" w:h="16838" w:orient="portrait"/>
          <w:cols w:equalWidth="0" w:num="1">
            <w:col w:w="11420"/>
          </w:cols>
          <w:pgMar w:left="240" w:top="121" w:right="239" w:bottom="1440" w:gutter="0" w:footer="0" w:header="0"/>
          <w:type w:val="continuous"/>
        </w:sectPr>
      </w:pPr>
    </w:p>
    <w:bookmarkStart w:id="43" w:name="page44"/>
    <w:bookmarkEnd w:id="43"/>
    <w:p>
      <w:pPr>
        <w:ind w:right="40" w:firstLine="921"/>
        <w:spacing w:after="0" w:line="255" w:lineRule="auto"/>
        <w:tabs>
          <w:tab w:leader="none" w:pos="109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 of Performance Award</w:t>
      </w:r>
      <w:r>
        <w:rPr>
          <w:rFonts w:ascii="Arial" w:cs="Arial" w:eastAsia="Arial" w:hAnsi="Arial"/>
          <w:sz w:val="18"/>
          <w:szCs w:val="18"/>
          <w:color w:val="auto"/>
        </w:rPr>
        <w:t>. Pursuant to the provisions of the Plan, the Corporation as of the date set forth above (the “</w:t>
      </w:r>
      <w:r>
        <w:rPr>
          <w:rFonts w:ascii="Arial" w:cs="Arial" w:eastAsia="Arial" w:hAnsi="Arial"/>
          <w:sz w:val="18"/>
          <w:szCs w:val="18"/>
          <w:u w:val="single" w:color="auto"/>
          <w:color w:val="auto"/>
        </w:rPr>
        <w:t>Grant Date</w:t>
      </w:r>
      <w:r>
        <w:rPr>
          <w:rFonts w:ascii="Arial" w:cs="Arial" w:eastAsia="Arial" w:hAnsi="Arial"/>
          <w:sz w:val="18"/>
          <w:szCs w:val="18"/>
          <w:color w:val="auto"/>
        </w:rPr>
        <w:t>”) has granted to the Participant, and hereby evidences the grant to the Participant of, subject to the terms and conditions set forth herein and in the Plan, a Performance Award consisting of the number of Performance Shares specified above. A Performance Share is an unfunded and unsecured obligation to deliver up to two Shares (or a portion thereof) or the cash equivalent thereof (determined in accordance with Section 3), subject to the terms and conditions of this Agreement and those of the Plan. References herein to Performance Shares are to the Performance Shares comprising such Performance Award granted pursuant to this Agreement.</w:t>
      </w:r>
    </w:p>
    <w:p>
      <w:pPr>
        <w:spacing w:after="0" w:line="193" w:lineRule="exact"/>
        <w:rPr>
          <w:rFonts w:ascii="Arial" w:cs="Arial" w:eastAsia="Arial" w:hAnsi="Arial"/>
          <w:sz w:val="18"/>
          <w:szCs w:val="18"/>
          <w:color w:val="auto"/>
        </w:rPr>
      </w:pPr>
    </w:p>
    <w:p>
      <w:pPr>
        <w:ind w:right="20" w:firstLine="921"/>
        <w:spacing w:after="0" w:line="270" w:lineRule="auto"/>
        <w:tabs>
          <w:tab w:leader="none" w:pos="1093"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Payment of Earned Performance Shares</w:t>
      </w:r>
      <w:r>
        <w:rPr>
          <w:rFonts w:ascii="Arial" w:cs="Arial" w:eastAsia="Arial" w:hAnsi="Arial"/>
          <w:sz w:val="17"/>
          <w:szCs w:val="17"/>
          <w:color w:val="auto"/>
        </w:rPr>
        <w:t>. Subject to the provisions of Section 5 and Section 6, after the end of the Performance Cycle described in Section 4(a), the Committee shall certify in writing on the date (the “</w:t>
      </w:r>
      <w:r>
        <w:rPr>
          <w:rFonts w:ascii="Arial" w:cs="Arial" w:eastAsia="Arial" w:hAnsi="Arial"/>
          <w:sz w:val="17"/>
          <w:szCs w:val="17"/>
          <w:u w:val="single" w:color="auto"/>
          <w:color w:val="auto"/>
        </w:rPr>
        <w:t>vesting date</w:t>
      </w:r>
      <w:r>
        <w:rPr>
          <w:rFonts w:ascii="Arial" w:cs="Arial" w:eastAsia="Arial" w:hAnsi="Arial"/>
          <w:sz w:val="17"/>
          <w:szCs w:val="17"/>
          <w:color w:val="auto"/>
        </w:rPr>
        <w:t xml:space="preserve">”) of its first regular meeting following the end of the Performance Cycle whether, and to what extent, the performance goal set forth in Section 4(b) has been achieved and determine and certify in writing the number of Performance Shares earned pursuant to Section 4. The number of such Performance Shares so earned shall be paid by the Corporation as soon as administratively practicable after the vesting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such payment be made later than March 15 of the calendar year that immediately follows the last day of the Performance Cycle. To the extent that the Performance Shares are not earned pursuant to Section 4, such Performance Shares shall be forfeited. Payments hereunder shall be made in Shares, unless the Committee, in its sole discretion, affirmatively determines that such payments shall be made in cash, or a combination of Shares and cash. If a cash payment is made in lieu of delivering Shares, the amount of such payment shall be equal to the Fair Market Value of such Shares as of the trading date immediately prior to the date of such payment, less applicable tax withholdings in accordance with Section 12.03 of the Plan.</w:t>
      </w:r>
    </w:p>
    <w:p>
      <w:pPr>
        <w:spacing w:after="0" w:line="285" w:lineRule="exact"/>
        <w:rPr>
          <w:rFonts w:ascii="Arial" w:cs="Arial" w:eastAsia="Arial" w:hAnsi="Arial"/>
          <w:sz w:val="17"/>
          <w:szCs w:val="17"/>
          <w:color w:val="auto"/>
        </w:rPr>
      </w:pPr>
    </w:p>
    <w:p>
      <w:pPr>
        <w:ind w:left="1100" w:hanging="179"/>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Vesting Criteria Applicable to Performance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80" w:firstLine="1492"/>
        <w:spacing w:after="0" w:line="277" w:lineRule="auto"/>
        <w:tabs>
          <w:tab w:leader="none" w:pos="1728"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Performance Cycle</w:t>
      </w:r>
      <w:r>
        <w:rPr>
          <w:rFonts w:ascii="Arial" w:cs="Arial" w:eastAsia="Arial" w:hAnsi="Arial"/>
          <w:sz w:val="18"/>
          <w:szCs w:val="18"/>
          <w:color w:val="auto"/>
        </w:rPr>
        <w:t>. The Performance Cycle for the Performance Award granted pursuant to this Agreement shall commence on January 1, 2014, and shall end on December 31, 2016.</w:t>
      </w:r>
    </w:p>
    <w:p>
      <w:pPr>
        <w:spacing w:after="0" w:line="170" w:lineRule="exact"/>
        <w:rPr>
          <w:rFonts w:ascii="Arial" w:cs="Arial" w:eastAsia="Arial" w:hAnsi="Arial"/>
          <w:sz w:val="18"/>
          <w:szCs w:val="18"/>
          <w:color w:val="auto"/>
        </w:rPr>
      </w:pPr>
    </w:p>
    <w:p>
      <w:pPr>
        <w:ind w:firstLine="1492"/>
        <w:spacing w:after="0" w:line="254" w:lineRule="auto"/>
        <w:tabs>
          <w:tab w:leader="none" w:pos="1738"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Performance Goal</w:t>
      </w:r>
      <w:r>
        <w:rPr>
          <w:rFonts w:ascii="Arial" w:cs="Arial" w:eastAsia="Arial" w:hAnsi="Arial"/>
          <w:sz w:val="18"/>
          <w:szCs w:val="18"/>
          <w:color w:val="auto"/>
        </w:rPr>
        <w:t xml:space="preserve">. The performance goal for the Performance Cycle is the total return per Share to the Corporation’s shareholders, inclusive of dividends paid, during the Performance Cycle in comparison to the total return per share of common stock, inclusive of dividends paid, during the Performance Cycle achieved by the companies that are listed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(such companies, the “</w:t>
      </w:r>
      <w:r>
        <w:rPr>
          <w:rFonts w:ascii="Arial" w:cs="Arial" w:eastAsia="Arial" w:hAnsi="Arial"/>
          <w:sz w:val="18"/>
          <w:szCs w:val="18"/>
          <w:u w:val="single" w:color="auto"/>
          <w:color w:val="auto"/>
        </w:rPr>
        <w:t>Comparison Companies</w:t>
      </w:r>
      <w:r>
        <w:rPr>
          <w:rFonts w:ascii="Arial" w:cs="Arial" w:eastAsia="Arial" w:hAnsi="Arial"/>
          <w:sz w:val="18"/>
          <w:szCs w:val="18"/>
          <w:color w:val="auto"/>
        </w:rPr>
        <w:t>”), as set forth in this Section 4(b). For purposes of this Agreement, such total shareholder return (“</w:t>
      </w:r>
      <w:r>
        <w:rPr>
          <w:rFonts w:ascii="Arial" w:cs="Arial" w:eastAsia="Arial" w:hAnsi="Arial"/>
          <w:sz w:val="18"/>
          <w:szCs w:val="18"/>
          <w:u w:val="single" w:color="auto"/>
          <w:color w:val="auto"/>
        </w:rPr>
        <w:t>Total Shareholder Return</w:t>
      </w:r>
      <w:r>
        <w:rPr>
          <w:rFonts w:ascii="Arial" w:cs="Arial" w:eastAsia="Arial" w:hAnsi="Arial"/>
          <w:sz w:val="18"/>
          <w:szCs w:val="18"/>
          <w:color w:val="auto"/>
        </w:rPr>
        <w:t>”) for the Corporation and each of the Comparison Companies shall be measured by dividing (A) the sum of (1) the dividends paid (regardless of whether paid in cash or property) on the common stock of such company during the Performance Cycle, assuming reinvestment of such dividends in such stock (based on the closing price of such stock on the date such dividend is paid), plus (2) the average closing price of a share of such stock on the principal United States exchange on which the stock trades for the 60 trading days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4" w:name="page45"/>
    <w:bookmarkEnd w:id="44"/>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prior to and including the last day of the Performance Cycle (appropriately adjusted for any stock dividend, stock split, spin-off, merger or other similar corporate events)(the “Ending Average Value”) minus the average closing price of a share of such company’s common stock on the principal United States exchange on which the stock trades for the 60 trading days occurring immediately prior to the first day of the Performance Cycle (the “</w:t>
      </w:r>
      <w:r>
        <w:rPr>
          <w:rFonts w:ascii="Arial" w:cs="Arial" w:eastAsia="Arial" w:hAnsi="Arial"/>
          <w:sz w:val="16"/>
          <w:szCs w:val="16"/>
          <w:u w:val="single" w:color="auto"/>
          <w:color w:val="auto"/>
        </w:rPr>
        <w:t>Beginning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Average Value</w:t>
      </w:r>
      <w:r>
        <w:rPr>
          <w:rFonts w:ascii="Arial" w:cs="Arial" w:eastAsia="Arial" w:hAnsi="Arial"/>
          <w:sz w:val="16"/>
          <w:szCs w:val="16"/>
          <w:color w:val="auto"/>
        </w:rPr>
        <w:t>”) , by (B) the Beginning Average Value. For the avoidance of doubt, it is intended that the foregoing calculation of Total Shareholder Return shall take into account not only the reinvestment of dividends in a share of common stock of the Corporation and any Comparison Company but also capital appreciation or depreciation in the shares deemed acquired by such reinvestment. All determinations under this Section 4 shall be made by the Committee.</w:t>
      </w:r>
    </w:p>
    <w:p>
      <w:pPr>
        <w:spacing w:after="0" w:line="165" w:lineRule="exact"/>
        <w:rPr>
          <w:sz w:val="20"/>
          <w:szCs w:val="20"/>
          <w:color w:val="auto"/>
        </w:rPr>
      </w:pPr>
    </w:p>
    <w:p>
      <w:pPr>
        <w:ind w:firstLine="1492"/>
        <w:spacing w:after="0" w:line="285" w:lineRule="auto"/>
        <w:tabs>
          <w:tab w:leader="none" w:pos="1728"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Percentage of Performance Shares Earned</w:t>
      </w:r>
      <w:r>
        <w:rPr>
          <w:rFonts w:ascii="Arial" w:cs="Arial" w:eastAsia="Arial" w:hAnsi="Arial"/>
          <w:sz w:val="16"/>
          <w:szCs w:val="16"/>
          <w:color w:val="auto"/>
        </w:rPr>
        <w:t>. Except as provided in Section 6, the Performance Shares shall be earned based on where the Corporation’s Total Shareholder Return during the Performance Cycle ranks in comparison to the Total Shareholder Returns of the Comparison Companies during the Performance Cycle. As soon as practicable after the completion of the Performance Cycle, the Total Shareholder Returns of the Corporation and each of the Comparison Companies shall be calculated and ranked from first to last (the “</w:t>
      </w:r>
      <w:r>
        <w:rPr>
          <w:rFonts w:ascii="Arial" w:cs="Arial" w:eastAsia="Arial" w:hAnsi="Arial"/>
          <w:sz w:val="16"/>
          <w:szCs w:val="16"/>
          <w:u w:val="single" w:color="auto"/>
          <w:color w:val="auto"/>
        </w:rPr>
        <w:t>TSR Ranking</w:t>
      </w:r>
      <w:r>
        <w:rPr>
          <w:rFonts w:ascii="Arial" w:cs="Arial" w:eastAsia="Arial" w:hAnsi="Arial"/>
          <w:sz w:val="16"/>
          <w:szCs w:val="16"/>
          <w:color w:val="auto"/>
        </w:rPr>
        <w:t xml:space="preserve">”). The extent to which Performance Shares shall become earned on the vesting date described in Section 3 shall be based on the TSR Ranking attained by the Corporation. The percentage of Performance Shares earned (the </w:t>
      </w:r>
      <w:r>
        <w:rPr>
          <w:rFonts w:ascii="Arial" w:cs="Arial" w:eastAsia="Arial" w:hAnsi="Arial"/>
          <w:sz w:val="16"/>
          <w:szCs w:val="16"/>
          <w:u w:val="single" w:color="auto"/>
          <w:color w:val="auto"/>
        </w:rPr>
        <w:t>“Percentage of Performance Shares Earned</w:t>
      </w:r>
      <w:r>
        <w:rPr>
          <w:rFonts w:ascii="Arial" w:cs="Arial" w:eastAsia="Arial" w:hAnsi="Arial"/>
          <w:sz w:val="16"/>
          <w:szCs w:val="16"/>
          <w:color w:val="auto"/>
        </w:rPr>
        <w:t xml:space="preserve">”) shall be the percentage set forth in the Percentage of Performance Shares Earned column of the schedule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that corresponds to the TSR Ranking attained by the Corporation set forth in the TSR Ranking column of such schedule. The number of Performance Shares earned shall be the product of the number of Performance Shares set forth in Section 2 multiplied by the Percentage of Performance Shares Earned. If at any time during the Performance Cycle, a Comparison Company is acquired, ceases to exist, ceases to be a publicly-traded company, files for bankruptcy, spins off 50% or more of its assets (except as otherwise provided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sells all, or substantially all, of its assets, such Comparison Company shall be removed and treated as if it had never been a Comparison Company. The Total Shareholder Returns of the Corporation and the remaining Comparison Companies shall be ranked from first to last, and the Percentage of Performance Shares Earned shall be determined as described in this Section 4(c) based on the Corporation’s TSR Ranking among the remaining Comparison Companies: (i) to the extent the number of Comparison Companies plus the Corporation is reduced to 11, 10 or 9, in accordance with the percentage corresponding to Corporation’s TSR Ranking as set forth in </w:t>
      </w:r>
      <w:r>
        <w:rPr>
          <w:rFonts w:ascii="Arial" w:cs="Arial" w:eastAsia="Arial" w:hAnsi="Arial"/>
          <w:sz w:val="16"/>
          <w:szCs w:val="16"/>
          <w:u w:val="single" w:color="auto"/>
          <w:color w:val="auto"/>
        </w:rPr>
        <w:t>Exhibit C-1, C-2 or C-3</w:t>
      </w:r>
      <w:r>
        <w:rPr>
          <w:rFonts w:ascii="Arial" w:cs="Arial" w:eastAsia="Arial" w:hAnsi="Arial"/>
          <w:sz w:val="16"/>
          <w:szCs w:val="16"/>
          <w:color w:val="auto"/>
        </w:rPr>
        <w:t xml:space="preserve"> attached hereto, respectively, and (ii) to the extent that the number of Comparison Companies plus the Corporation is reduced to fewer than 9, in accordance with the percentage corresponding to the Corporation’s TSR Ranking as set forth in </w:t>
      </w:r>
      <w:r>
        <w:rPr>
          <w:rFonts w:ascii="Arial" w:cs="Arial" w:eastAsia="Arial" w:hAnsi="Arial"/>
          <w:sz w:val="16"/>
          <w:szCs w:val="16"/>
          <w:u w:val="single" w:color="auto"/>
          <w:color w:val="auto"/>
        </w:rPr>
        <w:t>Exhibit C-3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the Committee may use its negative discretion, consistent with Code Section 162(m), to reduce the Percentage of Performance Shares Earned corresponding to such TSR Ranking of the Corporation such that the Percentage of Performance Shares Earned shall be as reasonably commensurate as possible with the Percentage of Performance Shares Earned that would have resulted if the number of Comparison Companies plus the Corporation had been 9, using similar percentile hurdles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5" w:name="page46"/>
    <w:bookmarkEnd w:id="45"/>
    <w:p>
      <w:pPr>
        <w:ind w:right="4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exist in C-3, with straight-line interpolation between points, and (2) if the Corporation ranks last among the remaining Comparison Companies, the Percentage of Performance Shares Earned shall be 0%. Notwithstanding the foregoing provisions of this Section 4(c) to the contrary, if the Corporation’s Total Shareholder Return during the Performance Cycle is negative, the Percentage of Performance Shares Earned shall not exceed 100%.</w:t>
      </w:r>
    </w:p>
    <w:p>
      <w:pPr>
        <w:spacing w:after="0" w:line="147" w:lineRule="exact"/>
        <w:rPr>
          <w:sz w:val="20"/>
          <w:szCs w:val="20"/>
          <w:color w:val="auto"/>
        </w:rPr>
      </w:pPr>
    </w:p>
    <w:p>
      <w:pPr>
        <w:ind w:right="40" w:firstLine="921"/>
        <w:spacing w:after="0" w:line="277" w:lineRule="auto"/>
        <w:tabs>
          <w:tab w:leader="none" w:pos="109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xml:space="preserve">. Except as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this Section 5, the Participant shall not have any right to any payment hereunder unless the Participant is employed by the Corporation or a Subsidiary on the vesting date pursuant to Section 3.</w:t>
      </w:r>
    </w:p>
    <w:p>
      <w:pPr>
        <w:spacing w:after="0" w:line="170" w:lineRule="exact"/>
        <w:rPr>
          <w:rFonts w:ascii="Arial" w:cs="Arial" w:eastAsia="Arial" w:hAnsi="Arial"/>
          <w:sz w:val="18"/>
          <w:szCs w:val="18"/>
          <w:color w:val="auto"/>
        </w:rPr>
      </w:pPr>
    </w:p>
    <w:p>
      <w:pPr>
        <w:ind w:right="20" w:firstLine="1492"/>
        <w:spacing w:after="0" w:line="254" w:lineRule="auto"/>
        <w:tabs>
          <w:tab w:leader="none" w:pos="1728"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Death, Permanent Total Disability or Normal Retirement</w:t>
      </w:r>
      <w:r>
        <w:rPr>
          <w:rFonts w:ascii="Arial" w:cs="Arial" w:eastAsia="Arial" w:hAnsi="Arial"/>
          <w:sz w:val="18"/>
          <w:szCs w:val="18"/>
          <w:color w:val="auto"/>
        </w:rPr>
        <w:t>. If (i) the Participant’s employment with the Corporation or any Subsidiary terminates prior to the vesting date pursuant to Section 3 by reason of the Participant’s death, permanent total disability or normal retirement under the Corporation’s Employees’ Pension Plan or any successor plan thereto or any similar plan maintained by a Subsidiary in which the Participant participates (such applicable pension plan, the “</w:t>
      </w:r>
      <w:r>
        <w:rPr>
          <w:rFonts w:ascii="Arial" w:cs="Arial" w:eastAsia="Arial" w:hAnsi="Arial"/>
          <w:sz w:val="18"/>
          <w:szCs w:val="18"/>
          <w:u w:val="single" w:color="auto"/>
          <w:color w:val="auto"/>
        </w:rPr>
        <w:t>Pension Plan</w:t>
      </w:r>
      <w:r>
        <w:rPr>
          <w:rFonts w:ascii="Arial" w:cs="Arial" w:eastAsia="Arial" w:hAnsi="Arial"/>
          <w:sz w:val="18"/>
          <w:szCs w:val="18"/>
          <w:color w:val="auto"/>
        </w:rPr>
        <w:t>”), and (ii) at the time of such termination due to normal retirement, as applicable, the Participant shall have completed at least five years of continuous service with the Corporation or any Subsidiary, the Participant shall be entitled to receive the same payment, if any (without pro-ration), in respect of the Performance Shares as would have been payable, and at the same time and subject to the same conditions, had the Participant’s employment continued until such vesting date. The existence and date of permanent total disability shall be determined by the Committee and its determination shall be final and conclusive.</w:t>
      </w:r>
    </w:p>
    <w:p>
      <w:pPr>
        <w:spacing w:after="0" w:line="192" w:lineRule="exact"/>
        <w:rPr>
          <w:rFonts w:ascii="Arial" w:cs="Arial" w:eastAsia="Arial" w:hAnsi="Arial"/>
          <w:sz w:val="18"/>
          <w:szCs w:val="18"/>
          <w:color w:val="auto"/>
        </w:rPr>
      </w:pPr>
    </w:p>
    <w:p>
      <w:pPr>
        <w:jc w:val="both"/>
        <w:ind w:right="80" w:firstLine="1492"/>
        <w:spacing w:after="0" w:line="279" w:lineRule="auto"/>
        <w:tabs>
          <w:tab w:leader="none" w:pos="1738"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Other than Death, Permanent Total Disability or Normal Retirement</w:t>
      </w:r>
      <w:r>
        <w:rPr>
          <w:rFonts w:ascii="Arial" w:cs="Arial" w:eastAsia="Arial" w:hAnsi="Arial"/>
          <w:sz w:val="17"/>
          <w:szCs w:val="17"/>
          <w:color w:val="auto"/>
        </w:rPr>
        <w:t>. If the Participant’s employment with the Corporation or any Subsidiary terminates prior to the vesting date pursuant to Section 3 for any reason other than the Participant’s death, permanent total disability or normal retirement under the Pension Plan, all of the Performance Shares and the Participant’s rights with respect thereto shall be immediately forfeited and cancelled without further action by the Corporation or the Participant as of the date of such termination of employment.</w:t>
      </w:r>
    </w:p>
    <w:p>
      <w:pPr>
        <w:spacing w:after="0" w:line="171" w:lineRule="exact"/>
        <w:rPr>
          <w:rFonts w:ascii="Arial" w:cs="Arial" w:eastAsia="Arial" w:hAnsi="Arial"/>
          <w:sz w:val="17"/>
          <w:szCs w:val="17"/>
          <w:color w:val="auto"/>
        </w:rPr>
      </w:pPr>
    </w:p>
    <w:p>
      <w:pPr>
        <w:ind w:firstLine="1492"/>
        <w:spacing w:after="0" w:line="293" w:lineRule="auto"/>
        <w:tabs>
          <w:tab w:leader="none" w:pos="1728"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Early Retirement</w:t>
      </w:r>
      <w:r>
        <w:rPr>
          <w:rFonts w:ascii="Arial" w:cs="Arial" w:eastAsia="Arial" w:hAnsi="Arial"/>
          <w:sz w:val="16"/>
          <w:szCs w:val="16"/>
          <w:color w:val="auto"/>
        </w:rPr>
        <w:t xml:space="preserve">. Notwithstanding Section 5(b), if (i) the Participant’s employment with the Corporation or any Subsidiary terminates prior to the vesting date pursuant to Section 3 by reason of the Participant’s early retirement under the Pension Plan, and (ii) at the time of such termination, the Participant shall have completed at least five years of continuous service with the Corporation or any Subsidiary, the Committee, in its sole discretion, may (but is not obligated to) determine that the Participant shall be entitled to receive the same payment, if any, in respect of the Performance Shares as would have been payable, and at the same time and subject to the same conditions, had the Participant’s employment continued until such vesting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payment shall be pro-rated based on the number of calendar days of the Performance Cycle elapsed through the date of such early retirement.</w:t>
      </w:r>
    </w:p>
    <w:p>
      <w:pPr>
        <w:spacing w:after="0" w:line="164" w:lineRule="exact"/>
        <w:rPr>
          <w:rFonts w:ascii="Arial" w:cs="Arial" w:eastAsia="Arial" w:hAnsi="Arial"/>
          <w:sz w:val="16"/>
          <w:szCs w:val="16"/>
          <w:color w:val="auto"/>
        </w:rPr>
      </w:pPr>
    </w:p>
    <w:p>
      <w:pPr>
        <w:ind w:left="1740" w:hanging="248"/>
        <w:spacing w:after="0"/>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Forfeiture Following Early Retirement</w:t>
      </w:r>
      <w:r>
        <w:rPr>
          <w:rFonts w:ascii="Arial" w:cs="Arial" w:eastAsia="Arial" w:hAnsi="Arial"/>
          <w:sz w:val="18"/>
          <w:szCs w:val="18"/>
          <w:color w:val="auto"/>
        </w:rPr>
        <w:t>. Notwithstanding any other provision of this Agreement to the contrary, if, following</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termination of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6" w:name="page47"/>
    <w:bookmarkEnd w:id="46"/>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Participant’s employment with the Corporation or any Subsidiary due to early retirement, as described in Section 5(c) where the Committee has previously determined that the Participant shall be entitled to receive any payments in respect of the Performance Shares in accordance with Section 5(c), the Committee determines in its good faith discretion that the Participant shall have engaged in any Prohibited Activity (as hereinafter defined) at any time during the time through the otherwise applicable vesting date with respect to the Performance Cycle, all of the Performance Shares and the Participant’s rights with respect thereto shall be immediately forfeited and cancelled without further action by the Corporation or the Participant as of the date on which the Participant shall have first entered into such Prohibited Activity. This Section 5(d) shall not constitute the Corporation’s exclusive remedy for the Participant’s engagement in any Prohibited Activity, and the Corporation may seek any additional legal or equitable remedy, including injunctive relief, in any such circumstances. If any provision contained in this Section 5(d) shall be held by any court of competent jurisdiction to be unenforceable, void or invalid, the parties intend that such provision be modified to make it valid and enforceable to the fullest extent permitted by law. If any such provision cannot be modified to be valid and enforceable, such provision shall be severed from this Agreement and the invalidity or unenforceability of such provision shall not affect the validity or enforceability of the remaining provisions. Notwithstanding any other provision of this Section 5(d) to the contrary, upon the occurrence of a Change of Control, the foregoing provisions of this Section 5(d) shall automatically terminate and cease to apply with respect to any Performance Shares that are outstanding and have not previously been forfeited under this Section 5(d). For purposes of this Agreement:</w:t>
      </w:r>
    </w:p>
    <w:p>
      <w:pPr>
        <w:spacing w:after="0" w:line="175" w:lineRule="exact"/>
        <w:rPr>
          <w:sz w:val="20"/>
          <w:szCs w:val="20"/>
          <w:color w:val="auto"/>
        </w:rPr>
      </w:pPr>
    </w:p>
    <w:p>
      <w:pPr>
        <w:ind w:left="2160" w:hanging="212"/>
        <w:spacing w:after="0"/>
        <w:tabs>
          <w:tab w:leader="none" w:pos="2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Activity</w:t>
      </w:r>
      <w:r>
        <w:rPr>
          <w:rFonts w:ascii="Arial" w:cs="Arial" w:eastAsia="Arial" w:hAnsi="Arial"/>
          <w:sz w:val="18"/>
          <w:szCs w:val="18"/>
          <w:color w:val="auto"/>
        </w:rPr>
        <w:t>” shall mean either Competitive Activity or Interference.</w:t>
      </w:r>
    </w:p>
    <w:p>
      <w:pPr>
        <w:spacing w:after="0" w:line="225" w:lineRule="exact"/>
        <w:rPr>
          <w:rFonts w:ascii="Arial" w:cs="Arial" w:eastAsia="Arial" w:hAnsi="Arial"/>
          <w:sz w:val="18"/>
          <w:szCs w:val="18"/>
          <w:color w:val="auto"/>
        </w:rPr>
      </w:pPr>
    </w:p>
    <w:p>
      <w:pPr>
        <w:jc w:val="both"/>
        <w:ind w:right="120" w:firstLine="1948"/>
        <w:spacing w:after="0" w:line="273" w:lineRule="auto"/>
        <w:tabs>
          <w:tab w:leader="none" w:pos="2205" w:val="left"/>
        </w:tabs>
        <w:numPr>
          <w:ilvl w:val="0"/>
          <w:numId w:val="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Competitive Activity</w:t>
      </w:r>
      <w:r>
        <w:rPr>
          <w:rFonts w:ascii="Arial" w:cs="Arial" w:eastAsia="Arial" w:hAnsi="Arial"/>
          <w:sz w:val="17"/>
          <w:szCs w:val="17"/>
          <w:color w:val="auto"/>
        </w:rPr>
        <w:t xml:space="preserve">” shall mean that the Participant, directly or indirectly, in any manner or capacity, shall be employed by, serve as a director or manager of, act as a consultant to or maintain any material ownership interest in, any E&amp;P Company or M&amp;R Company that competes with the business of the Corporation or any Subsidiary or affiliate thereof in geographical areas in which the Participant is aware that the Corporation or any Subsidiary or affiliate is engaged, or is considering engaging, unless the Committee agrees to such activity of the Participant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Participant’s ownership solely as an investor of less than 1% of the outstanding securities of any publicly-traded securities of any E&amp;P Company or M&amp;R Company shall not, by itself, be considered to be Competitive Activity.</w:t>
      </w:r>
    </w:p>
    <w:p>
      <w:pPr>
        <w:spacing w:after="0" w:line="178" w:lineRule="exact"/>
        <w:rPr>
          <w:rFonts w:ascii="Arial" w:cs="Arial" w:eastAsia="Arial" w:hAnsi="Arial"/>
          <w:sz w:val="17"/>
          <w:szCs w:val="17"/>
          <w:color w:val="auto"/>
        </w:rPr>
      </w:pPr>
    </w:p>
    <w:p>
      <w:pPr>
        <w:ind w:firstLine="1948"/>
        <w:spacing w:after="0" w:line="259" w:lineRule="auto"/>
        <w:tabs>
          <w:tab w:leader="none" w:pos="2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Interference</w:t>
      </w:r>
      <w:r>
        <w:rPr>
          <w:rFonts w:ascii="Arial" w:cs="Arial" w:eastAsia="Arial" w:hAnsi="Arial"/>
          <w:sz w:val="18"/>
          <w:szCs w:val="18"/>
          <w:color w:val="auto"/>
        </w:rPr>
        <w:t>” shall mean that the Participant shall, directly or indirectly, interfere with the relationship between the Corporation or any Subsidiary or affiliate of the Corporation and any person (including, without limitation, any business or governmental entity) that to the Participant’s knowledge is, or was, a client, customer, supplier, licensee or partner of the Corporation or any Subsidiary, or had any other business relationship with the Corporation or any Subsidiary.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(iv) </w:t>
      </w:r>
      <w:r>
        <w:rPr>
          <w:rFonts w:ascii="Arial" w:cs="Arial" w:eastAsia="Arial" w:hAnsi="Arial"/>
          <w:sz w:val="18"/>
          <w:szCs w:val="18"/>
          <w:u w:val="single" w:color="auto"/>
          <w:color w:val="auto"/>
        </w:rPr>
        <w:t>“E&amp;P Company</w:t>
      </w:r>
      <w:r>
        <w:rPr>
          <w:rFonts w:ascii="Arial" w:cs="Arial" w:eastAsia="Arial" w:hAnsi="Arial"/>
          <w:sz w:val="18"/>
          <w:szCs w:val="18"/>
          <w:color w:val="auto"/>
        </w:rPr>
        <w:t>” shall mean any business which is engaged in the business of exploring for, or developing or producing, crude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oil or natural gas.</w:t>
      </w:r>
    </w:p>
    <w:p>
      <w:pPr>
        <w:spacing w:after="0" w:line="211" w:lineRule="exact"/>
        <w:rPr>
          <w:sz w:val="20"/>
          <w:szCs w:val="20"/>
          <w:color w:val="auto"/>
        </w:rPr>
      </w:pPr>
    </w:p>
    <w:p>
      <w:pPr>
        <w:ind w:right="60" w:firstLine="1948"/>
        <w:spacing w:after="0" w:line="277" w:lineRule="auto"/>
        <w:tabs>
          <w:tab w:leader="none" w:pos="2195" w:val="left"/>
        </w:tabs>
        <w:numPr>
          <w:ilvl w:val="2"/>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M&amp;R Company</w:t>
      </w:r>
      <w:r>
        <w:rPr>
          <w:rFonts w:ascii="Arial" w:cs="Arial" w:eastAsia="Arial" w:hAnsi="Arial"/>
          <w:sz w:val="18"/>
          <w:szCs w:val="18"/>
          <w:color w:val="auto"/>
        </w:rPr>
        <w:t>” shall mean any business which is engaged in the manufacture, generation, purchase, marketing or trading of refined petroleum products, natural gas or electricity.</w:t>
      </w:r>
    </w:p>
    <w:p>
      <w:pPr>
        <w:spacing w:after="0" w:line="170" w:lineRule="exact"/>
        <w:rPr>
          <w:rFonts w:ascii="Arial" w:cs="Arial" w:eastAsia="Arial" w:hAnsi="Arial"/>
          <w:sz w:val="18"/>
          <w:szCs w:val="18"/>
          <w:color w:val="auto"/>
        </w:rPr>
      </w:pPr>
    </w:p>
    <w:p>
      <w:pPr>
        <w:ind w:firstLine="921"/>
        <w:spacing w:after="0" w:line="286" w:lineRule="auto"/>
        <w:tabs>
          <w:tab w:leader="none" w:pos="1093"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Notwithstanding anything in Section 3, 4, 5(a) or 5(c) to the contrary, in the event a Change of Control occurs during the Performance Cycle, the Corporation’s Total Shareholder Return, TSR Ranking and the Percentage of Performance Shares Earned shall be determined in accordance with Section 4 for the portion of the Performance Cycle that ends on the date immediately prior to the date of the Change of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Performance Shares have not been forfeited pursuant to Section 5 prior to the date of the Change of Control, the number of the Performance Shares earned shall be the sum of (a) the product of the number of Performance Shares set forth in Section 2, </w:t>
      </w:r>
      <w:r>
        <w:rPr>
          <w:rFonts w:ascii="Arial" w:cs="Arial" w:eastAsia="Arial" w:hAnsi="Arial"/>
          <w:sz w:val="16"/>
          <w:szCs w:val="16"/>
          <w:u w:val="single" w:color="auto"/>
          <w:color w:val="auto"/>
        </w:rPr>
        <w:t>multiplied</w:t>
      </w:r>
      <w:r>
        <w:rPr>
          <w:rFonts w:ascii="Arial" w:cs="Arial" w:eastAsia="Arial" w:hAnsi="Arial"/>
          <w:sz w:val="16"/>
          <w:szCs w:val="16"/>
          <w:color w:val="auto"/>
        </w:rPr>
        <w:t xml:space="preserve"> by a fraction, the numerator of which is the number of calendar days of the Performance Cycle that elapse through the date immediately prior to the date of the Change of Control and the denominator of which is the full number of calendar days during the Performance Cycle, </w:t>
      </w:r>
      <w:r>
        <w:rPr>
          <w:rFonts w:ascii="Arial" w:cs="Arial" w:eastAsia="Arial" w:hAnsi="Arial"/>
          <w:sz w:val="16"/>
          <w:szCs w:val="16"/>
          <w:u w:val="single" w:color="auto"/>
          <w:color w:val="auto"/>
        </w:rPr>
        <w:t>multiplied</w:t>
      </w:r>
      <w:r>
        <w:rPr>
          <w:rFonts w:ascii="Arial" w:cs="Arial" w:eastAsia="Arial" w:hAnsi="Arial"/>
          <w:sz w:val="16"/>
          <w:szCs w:val="16"/>
          <w:color w:val="auto"/>
        </w:rPr>
        <w:t xml:space="preserve"> by the Percentage of Performance Shares Earned,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product of the number of Performance Shares set forth in Section 2, </w:t>
      </w:r>
      <w:r>
        <w:rPr>
          <w:rFonts w:ascii="Arial" w:cs="Arial" w:eastAsia="Arial" w:hAnsi="Arial"/>
          <w:sz w:val="16"/>
          <w:szCs w:val="16"/>
          <w:u w:val="single" w:color="auto"/>
          <w:color w:val="auto"/>
        </w:rPr>
        <w:t>multiplied</w:t>
      </w:r>
      <w:r>
        <w:rPr>
          <w:rFonts w:ascii="Arial" w:cs="Arial" w:eastAsia="Arial" w:hAnsi="Arial"/>
          <w:sz w:val="16"/>
          <w:szCs w:val="16"/>
          <w:color w:val="auto"/>
        </w:rPr>
        <w:t xml:space="preserve"> by a fraction, the numerator of which is the number of calendar days remaining in the Performance Cycle on and following the date of the Change of Control and the denominator of which is the full number of calendar days during the Performance Cycle. Such number of earned Performance Shares shall be paid in cash on, or within 5 business days after, the date of such Change of Control based on the Change of Control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Change of Control does not constitute a “change in control event” within the meaning of Treasury Regulations Section 1.409A-3(i)(5), then any amounts payable under this Section 6 that constitute a “deferral of compensation” under Code Section 409A shall be made at the time specified in Section 2 as if such Change of Control had not occurred.</w:t>
      </w:r>
    </w:p>
    <w:p>
      <w:pPr>
        <w:spacing w:after="0" w:line="174" w:lineRule="exact"/>
        <w:rPr>
          <w:rFonts w:ascii="Arial" w:cs="Arial" w:eastAsia="Arial" w:hAnsi="Arial"/>
          <w:sz w:val="16"/>
          <w:szCs w:val="16"/>
          <w:color w:val="auto"/>
        </w:rPr>
      </w:pPr>
    </w:p>
    <w:p>
      <w:pPr>
        <w:ind w:right="20" w:firstLine="921"/>
        <w:spacing w:after="0" w:line="288" w:lineRule="auto"/>
        <w:tabs>
          <w:tab w:leader="none" w:pos="1093"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With respect to the number of Performance Shares set forth in Section 2, the Participant shall be credited with Dividend Equivalents with respect to each such Performance Share equal to the amount per Share of any ordinary cash dividends declared by the Board with record dates during the period beginning on the first day of the Performance Cycle and ending on the earliest to occur of: (a) the last day of the Performance Cycle;</w:t>
      </w:r>
    </w:p>
    <w:p>
      <w:pPr>
        <w:ind w:right="40" w:firstLine="8"/>
        <w:spacing w:after="0" w:line="271" w:lineRule="auto"/>
        <w:tabs>
          <w:tab w:leader="none" w:pos="2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date of a Change of Control and (c) the date such Performance Share terminates or is forfeited under Section 3 or Section 5. The Corporation shall pay in cash to the Participant an amount equal to the product of (i) sum of the aggregate amount of such Dividend Equivalents credited to the Participant, plus interest at a short-term rate determined by the Committee that accrues on the amount of such Dividend Equivalents from the date each such Dividend Equivalent is credited hereunder until the date of such payment, multiplied by (ii) the Percentage of Performance Shares Earned, such amount to be paid as and when the related Performance Shares are paid in accordance with Section 3 or Section 6, as applicable. Any Dividend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48" w:name="page49"/>
    <w:bookmarkEnd w:id="48"/>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Equivalents (and any accrued interest thereon) shall be forfeited as and when the related Performance Shares are forfeited in accordance with Section 3 or Section 5.</w:t>
      </w:r>
    </w:p>
    <w:p>
      <w:pPr>
        <w:spacing w:after="0" w:line="170" w:lineRule="exact"/>
        <w:rPr>
          <w:sz w:val="20"/>
          <w:szCs w:val="20"/>
          <w:color w:val="auto"/>
        </w:rPr>
      </w:pPr>
    </w:p>
    <w:p>
      <w:pPr>
        <w:ind w:right="440" w:firstLine="921"/>
        <w:spacing w:after="0" w:line="264" w:lineRule="auto"/>
        <w:tabs>
          <w:tab w:leader="none" w:pos="109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 Rights as a Shareholder</w:t>
      </w:r>
      <w:r>
        <w:rPr>
          <w:rFonts w:ascii="Arial" w:cs="Arial" w:eastAsia="Arial" w:hAnsi="Arial"/>
          <w:sz w:val="18"/>
          <w:szCs w:val="18"/>
          <w:color w:val="auto"/>
        </w:rPr>
        <w:t>. Until shares of Common Stock are issued, if at all, in satisfaction of the Corporation’s obligations under this Agreement, in the time and manner specified in Section 3 or 6, the Participant shall have no rights as a shareholder as to the Shares underlying the Performance Shares.</w:t>
      </w:r>
    </w:p>
    <w:p>
      <w:pPr>
        <w:spacing w:after="0" w:line="181" w:lineRule="exact"/>
        <w:rPr>
          <w:rFonts w:ascii="Arial" w:cs="Arial" w:eastAsia="Arial" w:hAnsi="Arial"/>
          <w:sz w:val="18"/>
          <w:szCs w:val="18"/>
          <w:color w:val="auto"/>
        </w:rPr>
      </w:pPr>
    </w:p>
    <w:p>
      <w:pPr>
        <w:ind w:firstLine="921"/>
        <w:spacing w:after="0" w:line="257" w:lineRule="auto"/>
        <w:tabs>
          <w:tab w:leader="none" w:pos="109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Participant may designate the beneficiary or beneficiaries to receive any payments which may be made in respect of the Performance Shares after the Participant’s death. Any such designation shall be made by the Participant in writing on a beneficiary designation form provided by or on behalf of the Corporation and (unless the Participant has waived such right) may be changed by the Participant from time to time by filing a new beneficiary designation form as provided therein. If the Participant does not designate a beneficiary or if no designated beneficiary survives the Participant, the Participant’s beneficiary shall be the legal representative of his estate.</w:t>
      </w:r>
    </w:p>
    <w:p>
      <w:pPr>
        <w:spacing w:after="0" w:line="188" w:lineRule="exact"/>
        <w:rPr>
          <w:rFonts w:ascii="Arial" w:cs="Arial" w:eastAsia="Arial" w:hAnsi="Arial"/>
          <w:sz w:val="18"/>
          <w:szCs w:val="18"/>
          <w:color w:val="auto"/>
        </w:rPr>
      </w:pPr>
    </w:p>
    <w:p>
      <w:pPr>
        <w:ind w:right="20" w:firstLine="921"/>
        <w:spacing w:after="0" w:line="289" w:lineRule="auto"/>
        <w:tabs>
          <w:tab w:leader="none" w:pos="1183"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No payment of Shares or cash in respect of the Performance Shares shall be made unless and until the Participant (or his or her beneficiary or legal representative) shall have made arrangements satisfactory to the Committee for the payment of any amounts required to be withheld with respect thereto under all present or future federal, state, local and non-United States tax laws and regulations and other laws and regulations in accordance with Section 12.03 of the Plan. The Corporation shall have the right to deduct from all amounts paid to the Participant in cash in respect of Performance Shares any such amounts. In the case of any payments of Performance Shares in the form of Shares, unless the Participant elects otherwise in advance in writing or is prohibited by law, upon payment of such Shares, such number of such Shares as shall be necessary to pay such amounts shall be sold by the Corporation or its designee on the Participant’s behalf, and the proceeds thereof shall be delivered to the Corporation for remittance to the appropriate governmental authorities. In the event the Committee determines that any amounts are required to be withheld in respect of the Performance Shares prior to payment of such Performance Shares, the Participant shall thereupon pay to the Corporation in cash the full amount so required to be withheld.</w:t>
      </w:r>
    </w:p>
    <w:p>
      <w:pPr>
        <w:spacing w:after="0" w:line="166" w:lineRule="exact"/>
        <w:rPr>
          <w:rFonts w:ascii="Arial" w:cs="Arial" w:eastAsia="Arial" w:hAnsi="Arial"/>
          <w:sz w:val="16"/>
          <w:szCs w:val="16"/>
          <w:color w:val="auto"/>
        </w:rPr>
      </w:pPr>
    </w:p>
    <w:p>
      <w:pPr>
        <w:ind w:right="160" w:firstLine="921"/>
        <w:spacing w:after="0" w:line="264" w:lineRule="auto"/>
        <w:tabs>
          <w:tab w:leader="none" w:pos="117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Limitations; Governing Law</w:t>
      </w:r>
      <w:r>
        <w:rPr>
          <w:rFonts w:ascii="Arial" w:cs="Arial" w:eastAsia="Arial" w:hAnsi="Arial"/>
          <w:sz w:val="18"/>
          <w:szCs w:val="18"/>
          <w:color w:val="auto"/>
        </w:rPr>
        <w:t>. Nothing herein or in the Plan shall be construed as conferring on the Participant or anyone else the right to continue in the employ of the Corporation or any Subsidiary. The rights and obligations under this Agreement are governed by and construed in accordance with the laws of the State of Delaware, without reference to the principles of conflict of laws thereof.</w:t>
      </w:r>
    </w:p>
    <w:p>
      <w:pPr>
        <w:spacing w:after="0" w:line="181" w:lineRule="exact"/>
        <w:rPr>
          <w:rFonts w:ascii="Arial" w:cs="Arial" w:eastAsia="Arial" w:hAnsi="Arial"/>
          <w:sz w:val="18"/>
          <w:szCs w:val="18"/>
          <w:color w:val="auto"/>
        </w:rPr>
      </w:pPr>
    </w:p>
    <w:p>
      <w:pPr>
        <w:jc w:val="both"/>
        <w:ind w:right="260" w:firstLine="921"/>
        <w:spacing w:after="0" w:line="259" w:lineRule="auto"/>
        <w:tabs>
          <w:tab w:leader="none" w:pos="118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Except as otherwise provided by Section 8, the Performance Shares, and any rights and interests with respect thereto, may not be sold, exchanged, transferred, assigned or otherwise disposed of in any way by the Participant (or the Participant’s beneficiary), and may not be pledged or encumbered in any way by the Participant (or the Participant’s beneficiary), and shall not be subject to execution, attachment or similar legal process.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49" w:name="page50"/>
    <w:bookmarkEnd w:id="49"/>
    <w:p>
      <w:pPr>
        <w:ind w:left="-40" w:firstLine="921"/>
        <w:spacing w:after="0" w:line="291" w:lineRule="auto"/>
        <w:tabs>
          <w:tab w:leader="none" w:pos="1143"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 Amendment</w:t>
      </w:r>
      <w:r>
        <w:rPr>
          <w:rFonts w:ascii="Arial" w:cs="Arial" w:eastAsia="Arial" w:hAnsi="Arial"/>
          <w:sz w:val="16"/>
          <w:szCs w:val="16"/>
          <w:color w:val="auto"/>
        </w:rPr>
        <w:t xml:space="preserve">. This Agreement (including the Plan which is incorporated herein by reference) contains the entire agreement between the parties hereto with respect to the subject matter contained herein, and supersedes all prior agreements or prior understandings, whether written or oral, between the parties hereto relating to such subject matter. The Board has the right, in its sole discretion, to amend, alter, suspend, discontinue or terminate the Plan, and the Committee has the right, in its sole discretion, to amend, alter, suspend, discontinue or terminate this Agreement from time to time in accordance with and as provided in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amendment, alteration, suspension, discontinuance or termination of the Plan may materially impair the Participant’s previously accrued rights under this Agreement or the Plan without the Participant’s consent, except as otherwise provided in Section 11 of the Plan. This Agreement may also be modified, amended or terminated by a writing signed by the Participant and the Corporation.</w:t>
      </w:r>
    </w:p>
    <w:p>
      <w:pPr>
        <w:spacing w:after="0" w:line="167" w:lineRule="exact"/>
        <w:rPr>
          <w:rFonts w:ascii="Arial" w:cs="Arial" w:eastAsia="Arial" w:hAnsi="Arial"/>
          <w:sz w:val="16"/>
          <w:szCs w:val="16"/>
          <w:color w:val="auto"/>
        </w:rPr>
      </w:pPr>
    </w:p>
    <w:p>
      <w:pPr>
        <w:ind w:left="-40" w:right="340" w:firstLine="921"/>
        <w:spacing w:after="0" w:line="308" w:lineRule="auto"/>
        <w:tabs>
          <w:tab w:leader="none" w:pos="1143"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which may be required or permitted under this Agreement shall be in writing and shall be delivered in person, or via facsimile transmission, overnight courier service or certified mail, return receipt requested, postage prepaid, properly addressed as follows:</w:t>
      </w:r>
    </w:p>
    <w:p>
      <w:pPr>
        <w:spacing w:after="0" w:line="146" w:lineRule="exact"/>
        <w:rPr>
          <w:rFonts w:ascii="Arial" w:cs="Arial" w:eastAsia="Arial" w:hAnsi="Arial"/>
          <w:sz w:val="17"/>
          <w:szCs w:val="17"/>
          <w:color w:val="auto"/>
        </w:rPr>
      </w:pPr>
    </w:p>
    <w:p>
      <w:pPr>
        <w:ind w:left="-40" w:right="280" w:firstLine="1492"/>
        <w:spacing w:after="0" w:line="308" w:lineRule="auto"/>
        <w:tabs>
          <w:tab w:leader="none" w:pos="1688" w:val="left"/>
        </w:tabs>
        <w:numPr>
          <w:ilvl w:val="1"/>
          <w:numId w:val="31"/>
        </w:numPr>
        <w:rPr>
          <w:rFonts w:ascii="Arial" w:cs="Arial" w:eastAsia="Arial" w:hAnsi="Arial"/>
          <w:sz w:val="17"/>
          <w:szCs w:val="17"/>
          <w:color w:val="auto"/>
        </w:rPr>
      </w:pPr>
      <w:r>
        <w:rPr>
          <w:rFonts w:ascii="Arial" w:cs="Arial" w:eastAsia="Arial" w:hAnsi="Arial"/>
          <w:sz w:val="17"/>
          <w:szCs w:val="17"/>
          <w:color w:val="auto"/>
        </w:rPr>
        <w:t>If the notice is to the Corporation, to the attention of the Secretary of Hess Corporation, 1185 Avenue of the Americas, New York, New York 10036, or at such other address as the Corporation by notice to the Participant may designate in writing from time to time.</w:t>
      </w:r>
    </w:p>
    <w:p>
      <w:pPr>
        <w:spacing w:after="0" w:line="146" w:lineRule="exact"/>
        <w:rPr>
          <w:rFonts w:ascii="Arial" w:cs="Arial" w:eastAsia="Arial" w:hAnsi="Arial"/>
          <w:sz w:val="17"/>
          <w:szCs w:val="17"/>
          <w:color w:val="auto"/>
        </w:rPr>
      </w:pPr>
    </w:p>
    <w:p>
      <w:pPr>
        <w:ind w:left="-40" w:right="260" w:firstLine="1492"/>
        <w:spacing w:after="0" w:line="277" w:lineRule="auto"/>
        <w:tabs>
          <w:tab w:leader="none" w:pos="1698"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the notice is to the Participant, at the Participant’s address as shown on the Corporation’s records, or at such other address as the Participant, by notice to the Corporation, may designate in writing from time to time.</w:t>
      </w:r>
    </w:p>
    <w:p>
      <w:pPr>
        <w:spacing w:after="0" w:line="170" w:lineRule="exact"/>
        <w:rPr>
          <w:rFonts w:ascii="Arial" w:cs="Arial" w:eastAsia="Arial" w:hAnsi="Arial"/>
          <w:sz w:val="18"/>
          <w:szCs w:val="18"/>
          <w:color w:val="auto"/>
        </w:rPr>
      </w:pPr>
    </w:p>
    <w:p>
      <w:pPr>
        <w:ind w:left="-40" w:right="200" w:firstLine="921"/>
        <w:spacing w:after="0" w:line="255" w:lineRule="auto"/>
        <w:tabs>
          <w:tab w:leader="none" w:pos="114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issuance of any Shares pursuant to this Agreement shall be subject to, and shall comply with, any applicable requirements of federal and state securities laws, rules and regulations (including, without limitation, the provisions of the Securities Act of 1933, as amended, the Exchange Act and the respective rules and regulations promulgated thereunder), any applicable rules of any exchange on which the Common Stock is listed (including, without limitation, the rules and regulations of the New York Stock Exchange), and any other law, rule or regulation applicable thereto. The Corporation shall not be obligated to issue any of the Common Stock subject to this Agreement if such issuance would violate any such requirements and if issued shall be deemed void ab initio.</w:t>
      </w:r>
    </w:p>
    <w:p>
      <w:pPr>
        <w:spacing w:after="0" w:line="193" w:lineRule="exact"/>
        <w:rPr>
          <w:rFonts w:ascii="Arial" w:cs="Arial" w:eastAsia="Arial" w:hAnsi="Arial"/>
          <w:sz w:val="18"/>
          <w:szCs w:val="18"/>
          <w:color w:val="auto"/>
        </w:rPr>
      </w:pPr>
    </w:p>
    <w:p>
      <w:pPr>
        <w:ind w:left="-40" w:right="100" w:firstLine="921"/>
        <w:spacing w:after="0" w:line="259" w:lineRule="auto"/>
        <w:tabs>
          <w:tab w:leader="none" w:pos="114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Binding Agreement; Further Assurances</w:t>
      </w:r>
      <w:r>
        <w:rPr>
          <w:rFonts w:ascii="Arial" w:cs="Arial" w:eastAsia="Arial" w:hAnsi="Arial"/>
          <w:sz w:val="18"/>
          <w:szCs w:val="18"/>
          <w:color w:val="auto"/>
        </w:rPr>
        <w:t>. This Agreement shall inure to the benefit of, be binding upon, and be enforceable by the Corporation and its successors and assigns. Each party hereto shall do and perform (or shall cause to be done and performed) all such further acts and shall execute and deliver all such other agreements, certificates, instruments and documents as any other party hereto reasonably may request in order to carry out the intent and accomplish the purposes of this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80" w:top="274"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and the Plan and the consummation of the transactions contemplated thereunder.</w:t>
      </w:r>
    </w:p>
    <w:p>
      <w:pPr>
        <w:spacing w:after="0" w:line="225" w:lineRule="exact"/>
        <w:rPr>
          <w:sz w:val="20"/>
          <w:szCs w:val="20"/>
          <w:color w:val="auto"/>
        </w:rPr>
      </w:pPr>
    </w:p>
    <w:p>
      <w:pPr>
        <w:ind w:right="120" w:firstLine="921"/>
        <w:spacing w:after="0" w:line="264" w:lineRule="auto"/>
        <w:tabs>
          <w:tab w:leader="none" w:pos="118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Counterparts; Headings</w:t>
      </w:r>
      <w:r>
        <w:rPr>
          <w:rFonts w:ascii="Arial" w:cs="Arial" w:eastAsia="Arial" w:hAnsi="Arial"/>
          <w:sz w:val="18"/>
          <w:szCs w:val="18"/>
          <w:color w:val="auto"/>
        </w:rPr>
        <w:t>. This Agreement may be executed in one or more counterparts, each of which shall be deemed to be an original, but all of which shall constitute one and the same instrument. The titles and headings of the various sections of this Agreement have been inserted for convenience of reference only and shall not be deemed to be a part of this Agreement.</w:t>
      </w:r>
    </w:p>
    <w:p>
      <w:pPr>
        <w:spacing w:after="0" w:line="181" w:lineRule="exact"/>
        <w:rPr>
          <w:rFonts w:ascii="Arial" w:cs="Arial" w:eastAsia="Arial" w:hAnsi="Arial"/>
          <w:sz w:val="18"/>
          <w:szCs w:val="18"/>
          <w:color w:val="auto"/>
        </w:rPr>
      </w:pPr>
    </w:p>
    <w:p>
      <w:pPr>
        <w:jc w:val="both"/>
        <w:ind w:firstLine="921"/>
        <w:spacing w:after="0" w:line="286" w:lineRule="auto"/>
        <w:tabs>
          <w:tab w:leader="none" w:pos="1183"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provisions of this Agreement in any jurisdiction shall not affect the validity, legality or enforceability of the remainder of this Agreement in such jurisdiction or the validity, legality or enforceability of any provision of this Agreement in any other jurisdiction, it being intended that all rights and obligations of the parties hereunder shall be enforceable to the fullest extent permitted by law.</w:t>
      </w:r>
    </w:p>
    <w:p>
      <w:pPr>
        <w:spacing w:after="0" w:line="165" w:lineRule="exact"/>
        <w:rPr>
          <w:rFonts w:ascii="Arial" w:cs="Arial" w:eastAsia="Arial" w:hAnsi="Arial"/>
          <w:sz w:val="17"/>
          <w:szCs w:val="17"/>
          <w:color w:val="auto"/>
        </w:rPr>
      </w:pPr>
    </w:p>
    <w:p>
      <w:pPr>
        <w:ind w:right="40" w:firstLine="921"/>
        <w:spacing w:after="0" w:line="253" w:lineRule="auto"/>
        <w:tabs>
          <w:tab w:leader="none" w:pos="118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Terms of Employment</w:t>
      </w:r>
      <w:r>
        <w:rPr>
          <w:rFonts w:ascii="Arial" w:cs="Arial" w:eastAsia="Arial" w:hAnsi="Arial"/>
          <w:sz w:val="18"/>
          <w:szCs w:val="18"/>
          <w:color w:val="auto"/>
        </w:rPr>
        <w:t>. The Plan is a discretionary plan. The Participant hereby acknowledges that neither the Plan nor this Agreement forms part of the Participant’s terms of employment and nothing in the Plan may be construed as imposing on the Corporation or any Subsidiary a contractual obligation to offer participation in the Plan to any employee of the Corporation or any Subsidiary. Neither the Corporation nor any Subsidiary is under any obligation to grant any further Awards to the Participant under the Plan. If the Participant ceases to be an employee of the Corporation or any Subsidiary for any reason, the Participant shall not be entitled by way of compensation for loss of office or otherwise howsoever to any sum or other benefit to compensate the Participant for the loss of any rights under this Agreement or the Plan. The Participant also acknowledges that the Corporation has adopted a policy prohibiting recipients of equity awarded from the Corporation, including the Performance Shares, from trading in equity derivative instruments to hedge the economic risks of holding Corporation common stock or interests therein. The Participant hereby acknowledges that he will abide by such policy in all respects.</w:t>
      </w:r>
    </w:p>
    <w:p>
      <w:pPr>
        <w:spacing w:after="0" w:line="197" w:lineRule="exact"/>
        <w:rPr>
          <w:rFonts w:ascii="Arial" w:cs="Arial" w:eastAsia="Arial" w:hAnsi="Arial"/>
          <w:sz w:val="18"/>
          <w:szCs w:val="18"/>
          <w:color w:val="auto"/>
        </w:rPr>
      </w:pPr>
    </w:p>
    <w:p>
      <w:pPr>
        <w:ind w:right="200" w:firstLine="921"/>
        <w:spacing w:after="0" w:line="277" w:lineRule="auto"/>
        <w:tabs>
          <w:tab w:leader="none" w:pos="118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Data Protection</w:t>
      </w:r>
      <w:r>
        <w:rPr>
          <w:rFonts w:ascii="Arial" w:cs="Arial" w:eastAsia="Arial" w:hAnsi="Arial"/>
          <w:sz w:val="18"/>
          <w:szCs w:val="18"/>
          <w:color w:val="auto"/>
        </w:rPr>
        <w:t>. By signing this Agreement, the Participant hereby consents to the holding and processing of personal data provided by the Participant to the Corporation for all purposes necessary for the operation of the Plan. These include, but are not limited to:</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administering and maintaining the Participant’s records;</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providing information to any registrars, brokers or third party administrators of the Plan; and</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providing information to future purchasers of the Corporation or the business in which the Participant works.</w:t>
      </w:r>
    </w:p>
    <w:p>
      <w:pPr>
        <w:spacing w:after="0" w:line="225" w:lineRule="exact"/>
        <w:rPr>
          <w:rFonts w:ascii="Arial" w:cs="Arial" w:eastAsia="Arial" w:hAnsi="Arial"/>
          <w:sz w:val="18"/>
          <w:szCs w:val="18"/>
          <w:color w:val="auto"/>
        </w:rPr>
      </w:pPr>
    </w:p>
    <w:p>
      <w:pPr>
        <w:ind w:left="1200" w:hanging="279"/>
        <w:spacing w:after="0"/>
        <w:tabs>
          <w:tab w:leader="none" w:pos="120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Payment of the Performance Shares and this Agreement are intended to comply with, or be exempt from, Section 409A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Code,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51" w:name="page52"/>
    <w:bookmarkEnd w:id="51"/>
    <w:p>
      <w:pPr>
        <w:ind w:right="2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shall be administered and construed in accordance with such intent. Accordingly, the Corporation shall have the authority to take any action, or refrain from taking any action, with respect to this Agreement that it determines is necessary or appropriate to ensure compliance with, or exemption from, Code Section 409A (provided that the Corporation shall choose the action that best preserves the value of payments provided to the Participant under this Agreement that is consistent with Code Section 409A). In furtherance, but not in limitation, of the foregoing:</w:t>
      </w:r>
    </w:p>
    <w:p>
      <w:pPr>
        <w:spacing w:after="0" w:line="171" w:lineRule="exact"/>
        <w:rPr>
          <w:sz w:val="20"/>
          <w:szCs w:val="20"/>
          <w:color w:val="auto"/>
        </w:rPr>
      </w:pPr>
    </w:p>
    <w:p>
      <w:pPr>
        <w:ind w:left="1740" w:hanging="248"/>
        <w:spacing w:after="0"/>
        <w:tabs>
          <w:tab w:leader="none" w:pos="1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no event may the Participant designate, directly or indirectly, the calendar year of any payment to be made hereunder;</w:t>
      </w:r>
    </w:p>
    <w:p>
      <w:pPr>
        <w:spacing w:after="0" w:line="225" w:lineRule="exact"/>
        <w:rPr>
          <w:rFonts w:ascii="Arial" w:cs="Arial" w:eastAsia="Arial" w:hAnsi="Arial"/>
          <w:sz w:val="18"/>
          <w:szCs w:val="18"/>
          <w:color w:val="auto"/>
        </w:rPr>
      </w:pPr>
    </w:p>
    <w:p>
      <w:pPr>
        <w:ind w:firstLine="1492"/>
        <w:spacing w:after="0" w:line="273" w:lineRule="auto"/>
        <w:tabs>
          <w:tab w:leader="none" w:pos="1738"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if at the time of the Participant’s separation from service, the Corporation determines that the Participant is a “specified employee” within the meaning of Code Section 409A, payments, if any, hereunder that constitute a “deferral of compensation” under Code Section 409A and that would otherwise become due on account of such separation from service shall be delayed and all such delayed payments shall be paid in full upon the earlier to occur of (i) a date during the thirty-day period commencing six months and one day following such separation from service and (ii) the date of the Participant’s death,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delay shall not apply to any payment that is excepted from coverage by Code Section 409A, such as a payment covered by the short-term deferral exception described in Treasury Regulations Section 1.409A-1(b)(4); and</w:t>
      </w:r>
    </w:p>
    <w:p>
      <w:pPr>
        <w:spacing w:after="0" w:line="178" w:lineRule="exact"/>
        <w:rPr>
          <w:rFonts w:ascii="Arial" w:cs="Arial" w:eastAsia="Arial" w:hAnsi="Arial"/>
          <w:sz w:val="17"/>
          <w:szCs w:val="17"/>
          <w:color w:val="auto"/>
        </w:rPr>
      </w:pPr>
    </w:p>
    <w:p>
      <w:pPr>
        <w:ind w:right="140" w:firstLine="1492"/>
        <w:spacing w:after="0" w:line="312" w:lineRule="auto"/>
        <w:tabs>
          <w:tab w:leader="none" w:pos="1728"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to the contrary, a termination or retirement of Participant’s employment hereunder shall mean and be interpreted consistent with a “separation from service” within the meaning of Code Section 409A with respect to any payments hereunder that constitute a “deferral of compensation” under Code Section 409A that become due on account of such separation from service.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52" w:name="page53"/>
    <w:bookmarkEnd w:id="52"/>
    <w:p>
      <w:pPr>
        <w:ind w:firstLine="913"/>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7"/>
          <w:szCs w:val="17"/>
          <w:color w:val="auto"/>
        </w:rPr>
        <w:t>, the Corporation has caused this Agreement to be executed by its duly authorized officer, and the Participant has</w:t>
      </w:r>
      <w:r>
        <w:rPr>
          <w:rFonts w:ascii="Arial" w:cs="Arial" w:eastAsia="Arial" w:hAnsi="Arial"/>
          <w:sz w:val="17"/>
          <w:szCs w:val="17"/>
          <w:b w:val="1"/>
          <w:bCs w:val="1"/>
          <w:color w:val="auto"/>
        </w:rPr>
        <w:t xml:space="preserve"> </w:t>
      </w:r>
      <w:r>
        <w:rPr>
          <w:rFonts w:ascii="Arial" w:cs="Arial" w:eastAsia="Arial" w:hAnsi="Arial"/>
          <w:sz w:val="17"/>
          <w:szCs w:val="17"/>
          <w:color w:val="auto"/>
        </w:rPr>
        <w:t>also executed this Agreement and acknowledged receipt of other related materials including the Plan prospectus, all as of the Grant Date.</w:t>
      </w:r>
    </w:p>
    <w:p>
      <w:pPr>
        <w:spacing w:after="0" w:line="16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HESS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B.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B. Hess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240" w:top="270" w:right="5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Companies</w:t>
      </w:r>
    </w:p>
    <w:p>
      <w:pPr>
        <w:spacing w:after="0" w:line="256" w:lineRule="exact"/>
        <w:rPr>
          <w:sz w:val="20"/>
          <w:szCs w:val="20"/>
          <w:color w:val="auto"/>
        </w:rPr>
      </w:pPr>
    </w:p>
    <w:p>
      <w:pPr>
        <w:ind w:left="440" w:hanging="324"/>
        <w:spacing w:after="0"/>
        <w:tabs>
          <w:tab w:leader="none" w:pos="4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Anadarko Petroleum Corporation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Apache Corporation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Chesapeake Energy Corporation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ConocoPhillips Company *</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Devon Energy Corporation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EOG Resources, Inc.</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Marathon Oil Corporation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Murphy Oil Corporation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Noble Energy, Inc.</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Occidental Petroleum Corporation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Talisman Energy Inc.</w:t>
      </w:r>
    </w:p>
    <w:p>
      <w:pPr>
        <w:spacing w:after="0" w:line="252" w:lineRule="exact"/>
        <w:rPr>
          <w:rFonts w:ascii="Arial" w:cs="Arial" w:eastAsia="Arial" w:hAnsi="Arial"/>
          <w:sz w:val="18"/>
          <w:szCs w:val="18"/>
          <w:color w:val="auto"/>
        </w:rPr>
      </w:pPr>
    </w:p>
    <w:p>
      <w:pPr>
        <w:ind w:left="220" w:right="20" w:hanging="216"/>
        <w:spacing w:after="0" w:line="259" w:lineRule="auto"/>
        <w:rPr>
          <w:rFonts w:ascii="Arial" w:cs="Arial" w:eastAsia="Arial" w:hAnsi="Arial"/>
          <w:sz w:val="18"/>
          <w:szCs w:val="18"/>
          <w:color w:val="auto"/>
        </w:rPr>
      </w:pPr>
      <w:r>
        <w:rPr>
          <w:rFonts w:ascii="Arial" w:cs="Arial" w:eastAsia="Arial" w:hAnsi="Arial"/>
          <w:sz w:val="18"/>
          <w:szCs w:val="18"/>
          <w:color w:val="auto"/>
        </w:rPr>
        <w:t>* It is intended that upon any reorganization in which this company is split into a separate exploration and production company and a separate marketing and refining company, the Comparison Companies listed herein shall include such exploration and production company, but not such marketing and refining company, and the readjusted historical common stock prices and dividends of such exploration and production company shall be used for computing the Total Shareholder Return of such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Percentage of Performance Shares Earned Schedule</w:t>
      </w:r>
    </w:p>
    <w:p>
      <w:pPr>
        <w:spacing w:after="0" w:line="229"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Use this schedule if number of Comparison Companies plus the Corporation is 12:</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87"/>
        </w:trPr>
        <w:tc>
          <w:tcPr>
            <w:tcW w:w="2940" w:type="dxa"/>
            <w:vAlign w:val="bottom"/>
            <w:gridSpan w:val="3"/>
          </w:tcPr>
          <w:p>
            <w:pPr>
              <w:ind w:left="1300"/>
              <w:spacing w:after="0"/>
              <w:rPr>
                <w:sz w:val="20"/>
                <w:szCs w:val="20"/>
                <w:color w:val="auto"/>
              </w:rPr>
            </w:pPr>
            <w:r>
              <w:rPr>
                <w:rFonts w:ascii="Arial" w:cs="Arial" w:eastAsia="Arial" w:hAnsi="Arial"/>
                <w:sz w:val="14"/>
                <w:szCs w:val="14"/>
                <w:color w:val="auto"/>
              </w:rPr>
              <w:t>TSR Ranking</w:t>
            </w:r>
          </w:p>
        </w:tc>
        <w:tc>
          <w:tcPr>
            <w:tcW w:w="4820" w:type="dxa"/>
            <w:vAlign w:val="bottom"/>
            <w:gridSpan w:val="2"/>
          </w:tcPr>
          <w:p>
            <w:pPr>
              <w:ind w:left="2380"/>
              <w:spacing w:after="0"/>
              <w:rPr>
                <w:sz w:val="20"/>
                <w:szCs w:val="20"/>
                <w:color w:val="auto"/>
              </w:rPr>
            </w:pPr>
            <w:r>
              <w:rPr>
                <w:rFonts w:ascii="Arial" w:cs="Arial" w:eastAsia="Arial" w:hAnsi="Arial"/>
                <w:sz w:val="14"/>
                <w:szCs w:val="14"/>
                <w:color w:val="auto"/>
                <w:w w:val="90"/>
              </w:rPr>
              <w:t>Percentage of Performance Shares Earned</w:t>
            </w:r>
          </w:p>
        </w:tc>
      </w:tr>
      <w:tr>
        <w:trPr>
          <w:trHeight w:val="203"/>
        </w:trPr>
        <w:tc>
          <w:tcPr>
            <w:tcW w:w="1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1st</w:t>
            </w:r>
          </w:p>
        </w:tc>
        <w:tc>
          <w:tcPr>
            <w:tcW w:w="86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200%</w:t>
            </w:r>
          </w:p>
        </w:tc>
      </w:tr>
      <w:tr>
        <w:trPr>
          <w:trHeight w:val="216"/>
        </w:trPr>
        <w:tc>
          <w:tcPr>
            <w:tcW w:w="1300" w:type="dxa"/>
            <w:vAlign w:val="bottom"/>
          </w:tcPr>
          <w:p>
            <w:pPr>
              <w:spacing w:after="0"/>
              <w:rPr>
                <w:sz w:val="18"/>
                <w:szCs w:val="18"/>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8"/>
                <w:szCs w:val="18"/>
                <w:color w:val="auto"/>
                <w:w w:val="86"/>
              </w:rPr>
              <w:t>2nd</w:t>
            </w:r>
          </w:p>
        </w:tc>
        <w:tc>
          <w:tcPr>
            <w:tcW w:w="4820" w:type="dxa"/>
            <w:vAlign w:val="bottom"/>
            <w:gridSpan w:val="2"/>
          </w:tcPr>
          <w:p>
            <w:pPr>
              <w:jc w:val="center"/>
              <w:ind w:left="2271"/>
              <w:spacing w:after="0"/>
              <w:rPr>
                <w:sz w:val="20"/>
                <w:szCs w:val="20"/>
                <w:color w:val="auto"/>
              </w:rPr>
            </w:pPr>
            <w:r>
              <w:rPr>
                <w:rFonts w:ascii="Arial" w:cs="Arial" w:eastAsia="Arial" w:hAnsi="Arial"/>
                <w:sz w:val="18"/>
                <w:szCs w:val="18"/>
                <w:color w:val="auto"/>
                <w:w w:val="91"/>
              </w:rPr>
              <w:t>200%</w:t>
            </w:r>
          </w:p>
        </w:tc>
      </w:tr>
      <w:tr>
        <w:trPr>
          <w:trHeight w:val="216"/>
        </w:trPr>
        <w:tc>
          <w:tcPr>
            <w:tcW w:w="1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92"/>
              </w:rPr>
              <w:t>3rd</w:t>
            </w:r>
          </w:p>
        </w:tc>
        <w:tc>
          <w:tcPr>
            <w:tcW w:w="4820" w:type="dxa"/>
            <w:vAlign w:val="bottom"/>
            <w:gridSpan w:val="2"/>
            <w:shd w:val="clear" w:color="auto" w:fill="CCEEFF"/>
          </w:tcPr>
          <w:p>
            <w:pPr>
              <w:jc w:val="center"/>
              <w:ind w:left="2271"/>
              <w:spacing w:after="0"/>
              <w:rPr>
                <w:sz w:val="20"/>
                <w:szCs w:val="20"/>
                <w:color w:val="auto"/>
              </w:rPr>
            </w:pPr>
            <w:r>
              <w:rPr>
                <w:rFonts w:ascii="Arial" w:cs="Arial" w:eastAsia="Arial" w:hAnsi="Arial"/>
                <w:sz w:val="18"/>
                <w:szCs w:val="18"/>
                <w:color w:val="auto"/>
                <w:w w:val="91"/>
              </w:rPr>
              <w:t>175%</w:t>
            </w:r>
          </w:p>
        </w:tc>
      </w:tr>
      <w:tr>
        <w:trPr>
          <w:trHeight w:val="216"/>
        </w:trPr>
        <w:tc>
          <w:tcPr>
            <w:tcW w:w="1300" w:type="dxa"/>
            <w:vAlign w:val="bottom"/>
          </w:tcPr>
          <w:p>
            <w:pPr>
              <w:spacing w:after="0"/>
              <w:rPr>
                <w:sz w:val="18"/>
                <w:szCs w:val="18"/>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8"/>
                <w:szCs w:val="18"/>
                <w:color w:val="auto"/>
                <w:w w:val="87"/>
              </w:rPr>
              <w:t>4th</w:t>
            </w:r>
          </w:p>
        </w:tc>
        <w:tc>
          <w:tcPr>
            <w:tcW w:w="4820" w:type="dxa"/>
            <w:vAlign w:val="bottom"/>
            <w:gridSpan w:val="2"/>
          </w:tcPr>
          <w:p>
            <w:pPr>
              <w:jc w:val="center"/>
              <w:ind w:left="2271"/>
              <w:spacing w:after="0"/>
              <w:rPr>
                <w:sz w:val="20"/>
                <w:szCs w:val="20"/>
                <w:color w:val="auto"/>
              </w:rPr>
            </w:pPr>
            <w:r>
              <w:rPr>
                <w:rFonts w:ascii="Arial" w:cs="Arial" w:eastAsia="Arial" w:hAnsi="Arial"/>
                <w:sz w:val="18"/>
                <w:szCs w:val="18"/>
                <w:color w:val="auto"/>
                <w:w w:val="91"/>
              </w:rPr>
              <w:t>150%</w:t>
            </w:r>
          </w:p>
        </w:tc>
      </w:tr>
      <w:tr>
        <w:trPr>
          <w:trHeight w:val="216"/>
        </w:trPr>
        <w:tc>
          <w:tcPr>
            <w:tcW w:w="1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7"/>
              </w:rPr>
              <w:t>5th</w:t>
            </w:r>
          </w:p>
        </w:tc>
        <w:tc>
          <w:tcPr>
            <w:tcW w:w="4820" w:type="dxa"/>
            <w:vAlign w:val="bottom"/>
            <w:gridSpan w:val="2"/>
            <w:shd w:val="clear" w:color="auto" w:fill="CCEEFF"/>
          </w:tcPr>
          <w:p>
            <w:pPr>
              <w:jc w:val="center"/>
              <w:ind w:left="2271"/>
              <w:spacing w:after="0"/>
              <w:rPr>
                <w:sz w:val="20"/>
                <w:szCs w:val="20"/>
                <w:color w:val="auto"/>
              </w:rPr>
            </w:pPr>
            <w:r>
              <w:rPr>
                <w:rFonts w:ascii="Arial" w:cs="Arial" w:eastAsia="Arial" w:hAnsi="Arial"/>
                <w:sz w:val="18"/>
                <w:szCs w:val="18"/>
                <w:color w:val="auto"/>
                <w:w w:val="91"/>
              </w:rPr>
              <w:t>125%</w:t>
            </w:r>
          </w:p>
        </w:tc>
      </w:tr>
      <w:tr>
        <w:trPr>
          <w:trHeight w:val="216"/>
        </w:trPr>
        <w:tc>
          <w:tcPr>
            <w:tcW w:w="1300" w:type="dxa"/>
            <w:vAlign w:val="bottom"/>
          </w:tcPr>
          <w:p>
            <w:pPr>
              <w:spacing w:after="0"/>
              <w:rPr>
                <w:sz w:val="18"/>
                <w:szCs w:val="18"/>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8"/>
                <w:szCs w:val="18"/>
                <w:color w:val="auto"/>
                <w:w w:val="87"/>
              </w:rPr>
              <w:t>6th</w:t>
            </w:r>
          </w:p>
        </w:tc>
        <w:tc>
          <w:tcPr>
            <w:tcW w:w="4820" w:type="dxa"/>
            <w:vAlign w:val="bottom"/>
            <w:gridSpan w:val="2"/>
          </w:tcPr>
          <w:p>
            <w:pPr>
              <w:jc w:val="center"/>
              <w:ind w:left="2271"/>
              <w:spacing w:after="0"/>
              <w:rPr>
                <w:sz w:val="20"/>
                <w:szCs w:val="20"/>
                <w:color w:val="auto"/>
              </w:rPr>
            </w:pPr>
            <w:r>
              <w:rPr>
                <w:rFonts w:ascii="Arial" w:cs="Arial" w:eastAsia="Arial" w:hAnsi="Arial"/>
                <w:sz w:val="18"/>
                <w:szCs w:val="18"/>
                <w:color w:val="auto"/>
                <w:w w:val="91"/>
              </w:rPr>
              <w:t>100%</w:t>
            </w:r>
          </w:p>
        </w:tc>
      </w:tr>
      <w:tr>
        <w:trPr>
          <w:trHeight w:val="216"/>
        </w:trPr>
        <w:tc>
          <w:tcPr>
            <w:tcW w:w="1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7"/>
              </w:rPr>
              <w:t>7th</w:t>
            </w:r>
          </w:p>
        </w:tc>
        <w:tc>
          <w:tcPr>
            <w:tcW w:w="4820" w:type="dxa"/>
            <w:vAlign w:val="bottom"/>
            <w:gridSpan w:val="2"/>
            <w:shd w:val="clear" w:color="auto" w:fill="CCEEFF"/>
          </w:tcPr>
          <w:p>
            <w:pPr>
              <w:jc w:val="center"/>
              <w:ind w:left="2271"/>
              <w:spacing w:after="0"/>
              <w:rPr>
                <w:sz w:val="20"/>
                <w:szCs w:val="20"/>
                <w:color w:val="auto"/>
              </w:rPr>
            </w:pPr>
            <w:r>
              <w:rPr>
                <w:rFonts w:ascii="Arial" w:cs="Arial" w:eastAsia="Arial" w:hAnsi="Arial"/>
                <w:sz w:val="18"/>
                <w:szCs w:val="18"/>
                <w:color w:val="auto"/>
                <w:w w:val="94"/>
              </w:rPr>
              <w:t>83%</w:t>
            </w:r>
          </w:p>
        </w:tc>
      </w:tr>
      <w:tr>
        <w:trPr>
          <w:trHeight w:val="216"/>
        </w:trPr>
        <w:tc>
          <w:tcPr>
            <w:tcW w:w="1300" w:type="dxa"/>
            <w:vAlign w:val="bottom"/>
          </w:tcPr>
          <w:p>
            <w:pPr>
              <w:spacing w:after="0"/>
              <w:rPr>
                <w:sz w:val="18"/>
                <w:szCs w:val="18"/>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8"/>
                <w:szCs w:val="18"/>
                <w:color w:val="auto"/>
                <w:w w:val="87"/>
              </w:rPr>
              <w:t>8th</w:t>
            </w:r>
          </w:p>
        </w:tc>
        <w:tc>
          <w:tcPr>
            <w:tcW w:w="4820" w:type="dxa"/>
            <w:vAlign w:val="bottom"/>
            <w:gridSpan w:val="2"/>
          </w:tcPr>
          <w:p>
            <w:pPr>
              <w:jc w:val="center"/>
              <w:ind w:left="2271"/>
              <w:spacing w:after="0"/>
              <w:rPr>
                <w:sz w:val="20"/>
                <w:szCs w:val="20"/>
                <w:color w:val="auto"/>
              </w:rPr>
            </w:pPr>
            <w:r>
              <w:rPr>
                <w:rFonts w:ascii="Arial" w:cs="Arial" w:eastAsia="Arial" w:hAnsi="Arial"/>
                <w:sz w:val="18"/>
                <w:szCs w:val="18"/>
                <w:color w:val="auto"/>
                <w:w w:val="94"/>
              </w:rPr>
              <w:t>66%</w:t>
            </w:r>
          </w:p>
        </w:tc>
      </w:tr>
      <w:tr>
        <w:trPr>
          <w:trHeight w:val="216"/>
        </w:trPr>
        <w:tc>
          <w:tcPr>
            <w:tcW w:w="1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7"/>
              </w:rPr>
              <w:t>9th</w:t>
            </w:r>
          </w:p>
        </w:tc>
        <w:tc>
          <w:tcPr>
            <w:tcW w:w="4820" w:type="dxa"/>
            <w:vAlign w:val="bottom"/>
            <w:gridSpan w:val="2"/>
            <w:shd w:val="clear" w:color="auto" w:fill="CCEEFF"/>
          </w:tcPr>
          <w:p>
            <w:pPr>
              <w:jc w:val="center"/>
              <w:ind w:left="2271"/>
              <w:spacing w:after="0"/>
              <w:rPr>
                <w:sz w:val="20"/>
                <w:szCs w:val="20"/>
                <w:color w:val="auto"/>
              </w:rPr>
            </w:pPr>
            <w:r>
              <w:rPr>
                <w:rFonts w:ascii="Arial" w:cs="Arial" w:eastAsia="Arial" w:hAnsi="Arial"/>
                <w:sz w:val="18"/>
                <w:szCs w:val="18"/>
                <w:color w:val="auto"/>
                <w:w w:val="94"/>
              </w:rPr>
              <w:t>50%</w:t>
            </w:r>
          </w:p>
        </w:tc>
      </w:tr>
      <w:tr>
        <w:trPr>
          <w:trHeight w:val="216"/>
        </w:trPr>
        <w:tc>
          <w:tcPr>
            <w:tcW w:w="1300" w:type="dxa"/>
            <w:vAlign w:val="bottom"/>
          </w:tcPr>
          <w:p>
            <w:pPr>
              <w:spacing w:after="0"/>
              <w:rPr>
                <w:sz w:val="18"/>
                <w:szCs w:val="18"/>
                <w:color w:val="auto"/>
              </w:rPr>
            </w:pPr>
          </w:p>
        </w:tc>
        <w:tc>
          <w:tcPr>
            <w:tcW w:w="1640" w:type="dxa"/>
            <w:vAlign w:val="bottom"/>
            <w:gridSpan w:val="2"/>
          </w:tcPr>
          <w:p>
            <w:pPr>
              <w:jc w:val="center"/>
              <w:ind w:right="840"/>
              <w:spacing w:after="0"/>
              <w:rPr>
                <w:sz w:val="20"/>
                <w:szCs w:val="20"/>
                <w:color w:val="auto"/>
              </w:rPr>
            </w:pPr>
            <w:r>
              <w:rPr>
                <w:rFonts w:ascii="Arial" w:cs="Arial" w:eastAsia="Arial" w:hAnsi="Arial"/>
                <w:sz w:val="18"/>
                <w:szCs w:val="18"/>
                <w:color w:val="auto"/>
                <w:w w:val="91"/>
              </w:rPr>
              <w:t>10th</w:t>
            </w:r>
          </w:p>
        </w:tc>
        <w:tc>
          <w:tcPr>
            <w:tcW w:w="4820" w:type="dxa"/>
            <w:vAlign w:val="bottom"/>
            <w:gridSpan w:val="2"/>
          </w:tcPr>
          <w:p>
            <w:pPr>
              <w:jc w:val="center"/>
              <w:ind w:left="2291"/>
              <w:spacing w:after="0"/>
              <w:rPr>
                <w:sz w:val="20"/>
                <w:szCs w:val="20"/>
                <w:color w:val="auto"/>
              </w:rPr>
            </w:pPr>
            <w:r>
              <w:rPr>
                <w:rFonts w:ascii="Arial" w:cs="Arial" w:eastAsia="Arial" w:hAnsi="Arial"/>
                <w:sz w:val="18"/>
                <w:szCs w:val="18"/>
                <w:color w:val="auto"/>
                <w:w w:val="92"/>
              </w:rPr>
              <w:t>0%</w:t>
            </w:r>
          </w:p>
        </w:tc>
      </w:tr>
      <w:tr>
        <w:trPr>
          <w:trHeight w:val="216"/>
        </w:trPr>
        <w:tc>
          <w:tcPr>
            <w:tcW w:w="1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5"/>
              </w:rPr>
              <w:t>11th</w:t>
            </w:r>
          </w:p>
        </w:tc>
        <w:tc>
          <w:tcPr>
            <w:tcW w:w="4820" w:type="dxa"/>
            <w:vAlign w:val="bottom"/>
            <w:gridSpan w:val="2"/>
            <w:shd w:val="clear" w:color="auto" w:fill="CCEEFF"/>
          </w:tcPr>
          <w:p>
            <w:pPr>
              <w:jc w:val="center"/>
              <w:ind w:left="2291"/>
              <w:spacing w:after="0"/>
              <w:rPr>
                <w:sz w:val="20"/>
                <w:szCs w:val="20"/>
                <w:color w:val="auto"/>
              </w:rPr>
            </w:pPr>
            <w:r>
              <w:rPr>
                <w:rFonts w:ascii="Arial" w:cs="Arial" w:eastAsia="Arial" w:hAnsi="Arial"/>
                <w:sz w:val="18"/>
                <w:szCs w:val="18"/>
                <w:color w:val="auto"/>
                <w:w w:val="92"/>
              </w:rPr>
              <w:t>0%</w:t>
            </w:r>
          </w:p>
        </w:tc>
      </w:tr>
      <w:tr>
        <w:trPr>
          <w:trHeight w:val="230"/>
        </w:trPr>
        <w:tc>
          <w:tcPr>
            <w:tcW w:w="1300" w:type="dxa"/>
            <w:vAlign w:val="bottom"/>
          </w:tcPr>
          <w:p>
            <w:pPr>
              <w:spacing w:after="0"/>
              <w:rPr>
                <w:sz w:val="20"/>
                <w:szCs w:val="20"/>
                <w:color w:val="auto"/>
              </w:rPr>
            </w:pPr>
          </w:p>
        </w:tc>
        <w:tc>
          <w:tcPr>
            <w:tcW w:w="1640" w:type="dxa"/>
            <w:vAlign w:val="bottom"/>
            <w:gridSpan w:val="2"/>
          </w:tcPr>
          <w:p>
            <w:pPr>
              <w:jc w:val="center"/>
              <w:ind w:right="840"/>
              <w:spacing w:after="0"/>
              <w:rPr>
                <w:sz w:val="20"/>
                <w:szCs w:val="20"/>
                <w:color w:val="auto"/>
              </w:rPr>
            </w:pPr>
            <w:r>
              <w:rPr>
                <w:rFonts w:ascii="Arial" w:cs="Arial" w:eastAsia="Arial" w:hAnsi="Arial"/>
                <w:sz w:val="18"/>
                <w:szCs w:val="18"/>
                <w:color w:val="auto"/>
                <w:w w:val="91"/>
              </w:rPr>
              <w:t>12th</w:t>
            </w:r>
          </w:p>
        </w:tc>
        <w:tc>
          <w:tcPr>
            <w:tcW w:w="4820" w:type="dxa"/>
            <w:vAlign w:val="bottom"/>
            <w:gridSpan w:val="2"/>
          </w:tcPr>
          <w:p>
            <w:pPr>
              <w:jc w:val="center"/>
              <w:ind w:left="2291"/>
              <w:spacing w:after="0"/>
              <w:rPr>
                <w:sz w:val="20"/>
                <w:szCs w:val="20"/>
                <w:color w:val="auto"/>
              </w:rPr>
            </w:pPr>
            <w:r>
              <w:rPr>
                <w:rFonts w:ascii="Arial" w:cs="Arial" w:eastAsia="Arial" w:hAnsi="Arial"/>
                <w:sz w:val="18"/>
                <w:szCs w:val="18"/>
                <w:color w:val="auto"/>
                <w:w w:val="92"/>
              </w:rPr>
              <w:t>0%</w:t>
            </w:r>
          </w:p>
        </w:tc>
      </w:tr>
      <w:tr>
        <w:trPr>
          <w:trHeight w:val="350"/>
        </w:trPr>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80" w:type="dxa"/>
            <w:vAlign w:val="bottom"/>
          </w:tcPr>
          <w:p>
            <w:pPr>
              <w:jc w:val="right"/>
              <w:ind w:right="1271"/>
              <w:spacing w:after="0"/>
              <w:rPr>
                <w:sz w:val="20"/>
                <w:szCs w:val="20"/>
                <w:color w:val="auto"/>
              </w:rPr>
            </w:pPr>
            <w:r>
              <w:rPr>
                <w:rFonts w:ascii="Arial" w:cs="Arial" w:eastAsia="Arial" w:hAnsi="Arial"/>
                <w:sz w:val="18"/>
                <w:szCs w:val="18"/>
                <w:color w:val="auto"/>
              </w:rPr>
              <w:t>13</w:t>
            </w:r>
          </w:p>
        </w:tc>
        <w:tc>
          <w:tcPr>
            <w:tcW w:w="2440" w:type="dxa"/>
            <w:vAlign w:val="bottom"/>
          </w:tcPr>
          <w:p>
            <w:pPr>
              <w:spacing w:after="0"/>
              <w:rPr>
                <w:sz w:val="24"/>
                <w:szCs w:val="24"/>
                <w:color w:val="auto"/>
              </w:rPr>
            </w:pPr>
          </w:p>
        </w:tc>
      </w:tr>
    </w:tbl>
    <w:p>
      <w:pPr>
        <w:sectPr>
          <w:pgSz w:w="11900" w:h="16838" w:orient="portrait"/>
          <w:cols w:equalWidth="0" w:num="1">
            <w:col w:w="10220"/>
          </w:cols>
          <w:pgMar w:left="1440" w:top="27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C-1</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Percentage of Performance Shares Earned Schedule</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Use this schedule if number of Comparison Companies plus the Corporation is 11:</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87"/>
        </w:trPr>
        <w:tc>
          <w:tcPr>
            <w:tcW w:w="2940" w:type="dxa"/>
            <w:vAlign w:val="bottom"/>
            <w:gridSpan w:val="3"/>
          </w:tcPr>
          <w:p>
            <w:pPr>
              <w:ind w:left="1300"/>
              <w:spacing w:after="0"/>
              <w:rPr>
                <w:sz w:val="20"/>
                <w:szCs w:val="20"/>
                <w:color w:val="auto"/>
              </w:rPr>
            </w:pPr>
            <w:r>
              <w:rPr>
                <w:rFonts w:ascii="Arial" w:cs="Arial" w:eastAsia="Arial" w:hAnsi="Arial"/>
                <w:sz w:val="14"/>
                <w:szCs w:val="14"/>
                <w:color w:val="auto"/>
              </w:rPr>
              <w:t>TSR Ranking</w:t>
            </w:r>
          </w:p>
        </w:tc>
        <w:tc>
          <w:tcPr>
            <w:tcW w:w="4820" w:type="dxa"/>
            <w:vAlign w:val="bottom"/>
            <w:gridSpan w:val="2"/>
          </w:tcPr>
          <w:p>
            <w:pPr>
              <w:ind w:left="2380"/>
              <w:spacing w:after="0"/>
              <w:rPr>
                <w:sz w:val="20"/>
                <w:szCs w:val="20"/>
                <w:color w:val="auto"/>
              </w:rPr>
            </w:pPr>
            <w:r>
              <w:rPr>
                <w:rFonts w:ascii="Arial" w:cs="Arial" w:eastAsia="Arial" w:hAnsi="Arial"/>
                <w:sz w:val="14"/>
                <w:szCs w:val="14"/>
                <w:color w:val="auto"/>
                <w:w w:val="90"/>
              </w:rPr>
              <w:t>Percentage of Performance Shares Earned</w:t>
            </w:r>
          </w:p>
        </w:tc>
      </w:tr>
      <w:tr>
        <w:trPr>
          <w:trHeight w:val="203"/>
        </w:trPr>
        <w:tc>
          <w:tcPr>
            <w:tcW w:w="1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1st</w:t>
            </w:r>
          </w:p>
        </w:tc>
        <w:tc>
          <w:tcPr>
            <w:tcW w:w="86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200%</w:t>
            </w:r>
          </w:p>
        </w:tc>
      </w:tr>
      <w:tr>
        <w:trPr>
          <w:trHeight w:val="216"/>
        </w:trPr>
        <w:tc>
          <w:tcPr>
            <w:tcW w:w="1300" w:type="dxa"/>
            <w:vAlign w:val="bottom"/>
          </w:tcPr>
          <w:p>
            <w:pPr>
              <w:spacing w:after="0"/>
              <w:rPr>
                <w:sz w:val="18"/>
                <w:szCs w:val="18"/>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8"/>
                <w:szCs w:val="18"/>
                <w:color w:val="auto"/>
                <w:w w:val="86"/>
              </w:rPr>
              <w:t>2nd</w:t>
            </w:r>
          </w:p>
        </w:tc>
        <w:tc>
          <w:tcPr>
            <w:tcW w:w="4820" w:type="dxa"/>
            <w:vAlign w:val="bottom"/>
            <w:gridSpan w:val="2"/>
          </w:tcPr>
          <w:p>
            <w:pPr>
              <w:jc w:val="center"/>
              <w:ind w:left="2271"/>
              <w:spacing w:after="0"/>
              <w:rPr>
                <w:sz w:val="20"/>
                <w:szCs w:val="20"/>
                <w:color w:val="auto"/>
              </w:rPr>
            </w:pPr>
            <w:r>
              <w:rPr>
                <w:rFonts w:ascii="Arial" w:cs="Arial" w:eastAsia="Arial" w:hAnsi="Arial"/>
                <w:sz w:val="18"/>
                <w:szCs w:val="18"/>
                <w:color w:val="auto"/>
                <w:w w:val="91"/>
              </w:rPr>
              <w:t>200%</w:t>
            </w:r>
          </w:p>
        </w:tc>
      </w:tr>
      <w:tr>
        <w:trPr>
          <w:trHeight w:val="216"/>
        </w:trPr>
        <w:tc>
          <w:tcPr>
            <w:tcW w:w="1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92"/>
              </w:rPr>
              <w:t>3rd</w:t>
            </w:r>
          </w:p>
        </w:tc>
        <w:tc>
          <w:tcPr>
            <w:tcW w:w="4820" w:type="dxa"/>
            <w:vAlign w:val="bottom"/>
            <w:gridSpan w:val="2"/>
            <w:shd w:val="clear" w:color="auto" w:fill="CCEEFF"/>
          </w:tcPr>
          <w:p>
            <w:pPr>
              <w:jc w:val="center"/>
              <w:ind w:left="2271"/>
              <w:spacing w:after="0"/>
              <w:rPr>
                <w:sz w:val="20"/>
                <w:szCs w:val="20"/>
                <w:color w:val="auto"/>
              </w:rPr>
            </w:pPr>
            <w:r>
              <w:rPr>
                <w:rFonts w:ascii="Arial" w:cs="Arial" w:eastAsia="Arial" w:hAnsi="Arial"/>
                <w:sz w:val="18"/>
                <w:szCs w:val="18"/>
                <w:color w:val="auto"/>
                <w:w w:val="91"/>
              </w:rPr>
              <w:t>175%</w:t>
            </w:r>
          </w:p>
        </w:tc>
      </w:tr>
      <w:tr>
        <w:trPr>
          <w:trHeight w:val="216"/>
        </w:trPr>
        <w:tc>
          <w:tcPr>
            <w:tcW w:w="1300" w:type="dxa"/>
            <w:vAlign w:val="bottom"/>
          </w:tcPr>
          <w:p>
            <w:pPr>
              <w:spacing w:after="0"/>
              <w:rPr>
                <w:sz w:val="18"/>
                <w:szCs w:val="18"/>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8"/>
                <w:szCs w:val="18"/>
                <w:color w:val="auto"/>
                <w:w w:val="87"/>
              </w:rPr>
              <w:t>4th</w:t>
            </w:r>
          </w:p>
        </w:tc>
        <w:tc>
          <w:tcPr>
            <w:tcW w:w="4820" w:type="dxa"/>
            <w:vAlign w:val="bottom"/>
            <w:gridSpan w:val="2"/>
          </w:tcPr>
          <w:p>
            <w:pPr>
              <w:jc w:val="center"/>
              <w:ind w:left="2271"/>
              <w:spacing w:after="0"/>
              <w:rPr>
                <w:sz w:val="20"/>
                <w:szCs w:val="20"/>
                <w:color w:val="auto"/>
              </w:rPr>
            </w:pPr>
            <w:r>
              <w:rPr>
                <w:rFonts w:ascii="Arial" w:cs="Arial" w:eastAsia="Arial" w:hAnsi="Arial"/>
                <w:sz w:val="18"/>
                <w:szCs w:val="18"/>
                <w:color w:val="auto"/>
                <w:w w:val="91"/>
              </w:rPr>
              <w:t>150%</w:t>
            </w:r>
          </w:p>
        </w:tc>
      </w:tr>
      <w:tr>
        <w:trPr>
          <w:trHeight w:val="216"/>
        </w:trPr>
        <w:tc>
          <w:tcPr>
            <w:tcW w:w="1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7"/>
              </w:rPr>
              <w:t>5th</w:t>
            </w:r>
          </w:p>
        </w:tc>
        <w:tc>
          <w:tcPr>
            <w:tcW w:w="4820" w:type="dxa"/>
            <w:vAlign w:val="bottom"/>
            <w:gridSpan w:val="2"/>
            <w:shd w:val="clear" w:color="auto" w:fill="CCEEFF"/>
          </w:tcPr>
          <w:p>
            <w:pPr>
              <w:jc w:val="center"/>
              <w:ind w:left="2271"/>
              <w:spacing w:after="0"/>
              <w:rPr>
                <w:sz w:val="20"/>
                <w:szCs w:val="20"/>
                <w:color w:val="auto"/>
              </w:rPr>
            </w:pPr>
            <w:r>
              <w:rPr>
                <w:rFonts w:ascii="Arial" w:cs="Arial" w:eastAsia="Arial" w:hAnsi="Arial"/>
                <w:sz w:val="18"/>
                <w:szCs w:val="18"/>
                <w:color w:val="auto"/>
                <w:w w:val="91"/>
              </w:rPr>
              <w:t>100%</w:t>
            </w:r>
          </w:p>
        </w:tc>
      </w:tr>
      <w:tr>
        <w:trPr>
          <w:trHeight w:val="216"/>
        </w:trPr>
        <w:tc>
          <w:tcPr>
            <w:tcW w:w="1300" w:type="dxa"/>
            <w:vAlign w:val="bottom"/>
          </w:tcPr>
          <w:p>
            <w:pPr>
              <w:spacing w:after="0"/>
              <w:rPr>
                <w:sz w:val="18"/>
                <w:szCs w:val="18"/>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8"/>
                <w:szCs w:val="18"/>
                <w:color w:val="auto"/>
                <w:w w:val="87"/>
              </w:rPr>
              <w:t>6th</w:t>
            </w:r>
          </w:p>
        </w:tc>
        <w:tc>
          <w:tcPr>
            <w:tcW w:w="4820" w:type="dxa"/>
            <w:vAlign w:val="bottom"/>
            <w:gridSpan w:val="2"/>
          </w:tcPr>
          <w:p>
            <w:pPr>
              <w:jc w:val="center"/>
              <w:ind w:left="2271"/>
              <w:spacing w:after="0"/>
              <w:rPr>
                <w:sz w:val="20"/>
                <w:szCs w:val="20"/>
                <w:color w:val="auto"/>
              </w:rPr>
            </w:pPr>
            <w:r>
              <w:rPr>
                <w:rFonts w:ascii="Arial" w:cs="Arial" w:eastAsia="Arial" w:hAnsi="Arial"/>
                <w:sz w:val="18"/>
                <w:szCs w:val="18"/>
                <w:color w:val="auto"/>
                <w:w w:val="94"/>
              </w:rPr>
              <w:t>83%</w:t>
            </w:r>
          </w:p>
        </w:tc>
      </w:tr>
      <w:tr>
        <w:trPr>
          <w:trHeight w:val="216"/>
        </w:trPr>
        <w:tc>
          <w:tcPr>
            <w:tcW w:w="1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7"/>
              </w:rPr>
              <w:t>7th</w:t>
            </w:r>
          </w:p>
        </w:tc>
        <w:tc>
          <w:tcPr>
            <w:tcW w:w="4820" w:type="dxa"/>
            <w:vAlign w:val="bottom"/>
            <w:gridSpan w:val="2"/>
            <w:shd w:val="clear" w:color="auto" w:fill="CCEEFF"/>
          </w:tcPr>
          <w:p>
            <w:pPr>
              <w:jc w:val="center"/>
              <w:ind w:left="2271"/>
              <w:spacing w:after="0"/>
              <w:rPr>
                <w:sz w:val="20"/>
                <w:szCs w:val="20"/>
                <w:color w:val="auto"/>
              </w:rPr>
            </w:pPr>
            <w:r>
              <w:rPr>
                <w:rFonts w:ascii="Arial" w:cs="Arial" w:eastAsia="Arial" w:hAnsi="Arial"/>
                <w:sz w:val="18"/>
                <w:szCs w:val="18"/>
                <w:color w:val="auto"/>
                <w:w w:val="94"/>
              </w:rPr>
              <w:t>67%</w:t>
            </w:r>
          </w:p>
        </w:tc>
      </w:tr>
      <w:tr>
        <w:trPr>
          <w:trHeight w:val="216"/>
        </w:trPr>
        <w:tc>
          <w:tcPr>
            <w:tcW w:w="1300" w:type="dxa"/>
            <w:vAlign w:val="bottom"/>
          </w:tcPr>
          <w:p>
            <w:pPr>
              <w:spacing w:after="0"/>
              <w:rPr>
                <w:sz w:val="18"/>
                <w:szCs w:val="18"/>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8"/>
                <w:szCs w:val="18"/>
                <w:color w:val="auto"/>
                <w:w w:val="87"/>
              </w:rPr>
              <w:t>8th</w:t>
            </w:r>
          </w:p>
        </w:tc>
        <w:tc>
          <w:tcPr>
            <w:tcW w:w="4820" w:type="dxa"/>
            <w:vAlign w:val="bottom"/>
            <w:gridSpan w:val="2"/>
          </w:tcPr>
          <w:p>
            <w:pPr>
              <w:jc w:val="center"/>
              <w:ind w:left="2271"/>
              <w:spacing w:after="0"/>
              <w:rPr>
                <w:sz w:val="20"/>
                <w:szCs w:val="20"/>
                <w:color w:val="auto"/>
              </w:rPr>
            </w:pPr>
            <w:r>
              <w:rPr>
                <w:rFonts w:ascii="Arial" w:cs="Arial" w:eastAsia="Arial" w:hAnsi="Arial"/>
                <w:sz w:val="18"/>
                <w:szCs w:val="18"/>
                <w:color w:val="auto"/>
                <w:w w:val="94"/>
              </w:rPr>
              <w:t>50%</w:t>
            </w:r>
          </w:p>
        </w:tc>
      </w:tr>
      <w:tr>
        <w:trPr>
          <w:trHeight w:val="216"/>
        </w:trPr>
        <w:tc>
          <w:tcPr>
            <w:tcW w:w="1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7"/>
              </w:rPr>
              <w:t>9th</w:t>
            </w:r>
          </w:p>
        </w:tc>
        <w:tc>
          <w:tcPr>
            <w:tcW w:w="4820" w:type="dxa"/>
            <w:vAlign w:val="bottom"/>
            <w:gridSpan w:val="2"/>
            <w:shd w:val="clear" w:color="auto" w:fill="CCEEFF"/>
          </w:tcPr>
          <w:p>
            <w:pPr>
              <w:jc w:val="center"/>
              <w:ind w:left="2291"/>
              <w:spacing w:after="0"/>
              <w:rPr>
                <w:sz w:val="20"/>
                <w:szCs w:val="20"/>
                <w:color w:val="auto"/>
              </w:rPr>
            </w:pPr>
            <w:r>
              <w:rPr>
                <w:rFonts w:ascii="Arial" w:cs="Arial" w:eastAsia="Arial" w:hAnsi="Arial"/>
                <w:sz w:val="18"/>
                <w:szCs w:val="18"/>
                <w:color w:val="auto"/>
                <w:w w:val="92"/>
              </w:rPr>
              <w:t>0%</w:t>
            </w:r>
          </w:p>
        </w:tc>
      </w:tr>
      <w:tr>
        <w:trPr>
          <w:trHeight w:val="216"/>
        </w:trPr>
        <w:tc>
          <w:tcPr>
            <w:tcW w:w="1300" w:type="dxa"/>
            <w:vAlign w:val="bottom"/>
          </w:tcPr>
          <w:p>
            <w:pPr>
              <w:spacing w:after="0"/>
              <w:rPr>
                <w:sz w:val="18"/>
                <w:szCs w:val="18"/>
                <w:color w:val="auto"/>
              </w:rPr>
            </w:pPr>
          </w:p>
        </w:tc>
        <w:tc>
          <w:tcPr>
            <w:tcW w:w="1640" w:type="dxa"/>
            <w:vAlign w:val="bottom"/>
            <w:gridSpan w:val="2"/>
          </w:tcPr>
          <w:p>
            <w:pPr>
              <w:jc w:val="center"/>
              <w:ind w:right="840"/>
              <w:spacing w:after="0"/>
              <w:rPr>
                <w:sz w:val="20"/>
                <w:szCs w:val="20"/>
                <w:color w:val="auto"/>
              </w:rPr>
            </w:pPr>
            <w:r>
              <w:rPr>
                <w:rFonts w:ascii="Arial" w:cs="Arial" w:eastAsia="Arial" w:hAnsi="Arial"/>
                <w:sz w:val="18"/>
                <w:szCs w:val="18"/>
                <w:color w:val="auto"/>
                <w:w w:val="91"/>
              </w:rPr>
              <w:t>10th</w:t>
            </w:r>
          </w:p>
        </w:tc>
        <w:tc>
          <w:tcPr>
            <w:tcW w:w="4820" w:type="dxa"/>
            <w:vAlign w:val="bottom"/>
            <w:gridSpan w:val="2"/>
          </w:tcPr>
          <w:p>
            <w:pPr>
              <w:jc w:val="center"/>
              <w:ind w:left="2291"/>
              <w:spacing w:after="0"/>
              <w:rPr>
                <w:sz w:val="20"/>
                <w:szCs w:val="20"/>
                <w:color w:val="auto"/>
              </w:rPr>
            </w:pPr>
            <w:r>
              <w:rPr>
                <w:rFonts w:ascii="Arial" w:cs="Arial" w:eastAsia="Arial" w:hAnsi="Arial"/>
                <w:sz w:val="18"/>
                <w:szCs w:val="18"/>
                <w:color w:val="auto"/>
                <w:w w:val="92"/>
              </w:rPr>
              <w:t>0%</w:t>
            </w:r>
          </w:p>
        </w:tc>
      </w:tr>
      <w:tr>
        <w:trPr>
          <w:trHeight w:val="216"/>
        </w:trPr>
        <w:tc>
          <w:tcPr>
            <w:tcW w:w="1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5"/>
              </w:rPr>
              <w:t>11th</w:t>
            </w:r>
          </w:p>
        </w:tc>
        <w:tc>
          <w:tcPr>
            <w:tcW w:w="4820" w:type="dxa"/>
            <w:vAlign w:val="bottom"/>
            <w:gridSpan w:val="2"/>
            <w:shd w:val="clear" w:color="auto" w:fill="CCEEFF"/>
          </w:tcPr>
          <w:p>
            <w:pPr>
              <w:jc w:val="center"/>
              <w:ind w:left="2291"/>
              <w:spacing w:after="0"/>
              <w:rPr>
                <w:sz w:val="20"/>
                <w:szCs w:val="20"/>
                <w:color w:val="auto"/>
              </w:rPr>
            </w:pPr>
            <w:r>
              <w:rPr>
                <w:rFonts w:ascii="Arial" w:cs="Arial" w:eastAsia="Arial" w:hAnsi="Arial"/>
                <w:sz w:val="18"/>
                <w:szCs w:val="18"/>
                <w:color w:val="auto"/>
                <w:w w:val="92"/>
              </w:rPr>
              <w:t>0%</w:t>
            </w:r>
          </w:p>
        </w:tc>
      </w:tr>
      <w:tr>
        <w:trPr>
          <w:trHeight w:val="365"/>
        </w:trPr>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80" w:type="dxa"/>
            <w:vAlign w:val="bottom"/>
          </w:tcPr>
          <w:p>
            <w:pPr>
              <w:jc w:val="right"/>
              <w:ind w:right="1271"/>
              <w:spacing w:after="0"/>
              <w:rPr>
                <w:sz w:val="20"/>
                <w:szCs w:val="20"/>
                <w:color w:val="auto"/>
              </w:rPr>
            </w:pPr>
            <w:r>
              <w:rPr>
                <w:rFonts w:ascii="Arial" w:cs="Arial" w:eastAsia="Arial" w:hAnsi="Arial"/>
                <w:sz w:val="18"/>
                <w:szCs w:val="18"/>
                <w:color w:val="auto"/>
              </w:rPr>
              <w:t>14</w:t>
            </w:r>
          </w:p>
        </w:tc>
        <w:tc>
          <w:tcPr>
            <w:tcW w:w="2440" w:type="dxa"/>
            <w:vAlign w:val="bottom"/>
          </w:tcPr>
          <w:p>
            <w:pPr>
              <w:spacing w:after="0"/>
              <w:rPr>
                <w:sz w:val="24"/>
                <w:szCs w:val="24"/>
                <w:color w:val="auto"/>
              </w:rPr>
            </w:pPr>
          </w:p>
        </w:tc>
      </w:tr>
    </w:tbl>
    <w:p>
      <w:pPr>
        <w:sectPr>
          <w:pgSz w:w="11900" w:h="16838" w:orient="portrait"/>
          <w:cols w:equalWidth="0" w:num="1">
            <w:col w:w="10220"/>
          </w:cols>
          <w:pgMar w:left="1440" w:top="27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C-2</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Percentage of Performance Shares Earned Schedule</w:t>
      </w:r>
    </w:p>
    <w:p>
      <w:pPr>
        <w:spacing w:after="0" w:line="229"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Use this schedule if number of Comparison Companies plus the Corporation is 10:</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87"/>
        </w:trPr>
        <w:tc>
          <w:tcPr>
            <w:tcW w:w="2940" w:type="dxa"/>
            <w:vAlign w:val="bottom"/>
            <w:gridSpan w:val="3"/>
          </w:tcPr>
          <w:p>
            <w:pPr>
              <w:ind w:left="1300"/>
              <w:spacing w:after="0"/>
              <w:rPr>
                <w:sz w:val="20"/>
                <w:szCs w:val="20"/>
                <w:color w:val="auto"/>
              </w:rPr>
            </w:pPr>
            <w:r>
              <w:rPr>
                <w:rFonts w:ascii="Arial" w:cs="Arial" w:eastAsia="Arial" w:hAnsi="Arial"/>
                <w:sz w:val="14"/>
                <w:szCs w:val="14"/>
                <w:color w:val="auto"/>
              </w:rPr>
              <w:t>TSR Ranking</w:t>
            </w:r>
          </w:p>
        </w:tc>
        <w:tc>
          <w:tcPr>
            <w:tcW w:w="4820" w:type="dxa"/>
            <w:vAlign w:val="bottom"/>
            <w:gridSpan w:val="2"/>
          </w:tcPr>
          <w:p>
            <w:pPr>
              <w:ind w:left="2380"/>
              <w:spacing w:after="0"/>
              <w:rPr>
                <w:sz w:val="20"/>
                <w:szCs w:val="20"/>
                <w:color w:val="auto"/>
              </w:rPr>
            </w:pPr>
            <w:r>
              <w:rPr>
                <w:rFonts w:ascii="Arial" w:cs="Arial" w:eastAsia="Arial" w:hAnsi="Arial"/>
                <w:sz w:val="14"/>
                <w:szCs w:val="14"/>
                <w:color w:val="auto"/>
                <w:w w:val="90"/>
              </w:rPr>
              <w:t>Percentage of Performance Shares Earned</w:t>
            </w:r>
          </w:p>
        </w:tc>
      </w:tr>
      <w:tr>
        <w:trPr>
          <w:trHeight w:val="203"/>
        </w:trPr>
        <w:tc>
          <w:tcPr>
            <w:tcW w:w="1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1st</w:t>
            </w:r>
          </w:p>
        </w:tc>
        <w:tc>
          <w:tcPr>
            <w:tcW w:w="86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200%</w:t>
            </w:r>
          </w:p>
        </w:tc>
      </w:tr>
      <w:tr>
        <w:trPr>
          <w:trHeight w:val="216"/>
        </w:trPr>
        <w:tc>
          <w:tcPr>
            <w:tcW w:w="1300" w:type="dxa"/>
            <w:vAlign w:val="bottom"/>
          </w:tcPr>
          <w:p>
            <w:pPr>
              <w:spacing w:after="0"/>
              <w:rPr>
                <w:sz w:val="18"/>
                <w:szCs w:val="18"/>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8"/>
                <w:szCs w:val="18"/>
                <w:color w:val="auto"/>
                <w:w w:val="86"/>
              </w:rPr>
              <w:t>2nd</w:t>
            </w:r>
          </w:p>
        </w:tc>
        <w:tc>
          <w:tcPr>
            <w:tcW w:w="4820" w:type="dxa"/>
            <w:vAlign w:val="bottom"/>
            <w:gridSpan w:val="2"/>
          </w:tcPr>
          <w:p>
            <w:pPr>
              <w:jc w:val="center"/>
              <w:ind w:left="2272"/>
              <w:spacing w:after="0"/>
              <w:rPr>
                <w:sz w:val="20"/>
                <w:szCs w:val="20"/>
                <w:color w:val="auto"/>
              </w:rPr>
            </w:pPr>
            <w:r>
              <w:rPr>
                <w:rFonts w:ascii="Arial" w:cs="Arial" w:eastAsia="Arial" w:hAnsi="Arial"/>
                <w:sz w:val="18"/>
                <w:szCs w:val="18"/>
                <w:color w:val="auto"/>
                <w:w w:val="91"/>
              </w:rPr>
              <w:t>175%</w:t>
            </w:r>
          </w:p>
        </w:tc>
      </w:tr>
      <w:tr>
        <w:trPr>
          <w:trHeight w:val="216"/>
        </w:trPr>
        <w:tc>
          <w:tcPr>
            <w:tcW w:w="1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92"/>
              </w:rPr>
              <w:t>3rd</w:t>
            </w:r>
          </w:p>
        </w:tc>
        <w:tc>
          <w:tcPr>
            <w:tcW w:w="4820" w:type="dxa"/>
            <w:vAlign w:val="bottom"/>
            <w:gridSpan w:val="2"/>
            <w:shd w:val="clear" w:color="auto" w:fill="CCEEFF"/>
          </w:tcPr>
          <w:p>
            <w:pPr>
              <w:jc w:val="center"/>
              <w:ind w:left="2272"/>
              <w:spacing w:after="0"/>
              <w:rPr>
                <w:sz w:val="20"/>
                <w:szCs w:val="20"/>
                <w:color w:val="auto"/>
              </w:rPr>
            </w:pPr>
            <w:r>
              <w:rPr>
                <w:rFonts w:ascii="Arial" w:cs="Arial" w:eastAsia="Arial" w:hAnsi="Arial"/>
                <w:sz w:val="18"/>
                <w:szCs w:val="18"/>
                <w:color w:val="auto"/>
                <w:w w:val="91"/>
              </w:rPr>
              <w:t>150%</w:t>
            </w:r>
          </w:p>
        </w:tc>
      </w:tr>
      <w:tr>
        <w:trPr>
          <w:trHeight w:val="216"/>
        </w:trPr>
        <w:tc>
          <w:tcPr>
            <w:tcW w:w="1300" w:type="dxa"/>
            <w:vAlign w:val="bottom"/>
          </w:tcPr>
          <w:p>
            <w:pPr>
              <w:spacing w:after="0"/>
              <w:rPr>
                <w:sz w:val="18"/>
                <w:szCs w:val="18"/>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8"/>
                <w:szCs w:val="18"/>
                <w:color w:val="auto"/>
                <w:w w:val="87"/>
              </w:rPr>
              <w:t>4th</w:t>
            </w:r>
          </w:p>
        </w:tc>
        <w:tc>
          <w:tcPr>
            <w:tcW w:w="4820" w:type="dxa"/>
            <w:vAlign w:val="bottom"/>
            <w:gridSpan w:val="2"/>
          </w:tcPr>
          <w:p>
            <w:pPr>
              <w:jc w:val="center"/>
              <w:ind w:left="2272"/>
              <w:spacing w:after="0"/>
              <w:rPr>
                <w:sz w:val="20"/>
                <w:szCs w:val="20"/>
                <w:color w:val="auto"/>
              </w:rPr>
            </w:pPr>
            <w:r>
              <w:rPr>
                <w:rFonts w:ascii="Arial" w:cs="Arial" w:eastAsia="Arial" w:hAnsi="Arial"/>
                <w:sz w:val="18"/>
                <w:szCs w:val="18"/>
                <w:color w:val="auto"/>
                <w:w w:val="91"/>
              </w:rPr>
              <w:t>125%</w:t>
            </w:r>
          </w:p>
        </w:tc>
      </w:tr>
      <w:tr>
        <w:trPr>
          <w:trHeight w:val="216"/>
        </w:trPr>
        <w:tc>
          <w:tcPr>
            <w:tcW w:w="1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7"/>
              </w:rPr>
              <w:t>5th</w:t>
            </w:r>
          </w:p>
        </w:tc>
        <w:tc>
          <w:tcPr>
            <w:tcW w:w="4820" w:type="dxa"/>
            <w:vAlign w:val="bottom"/>
            <w:gridSpan w:val="2"/>
            <w:shd w:val="clear" w:color="auto" w:fill="CCEEFF"/>
          </w:tcPr>
          <w:p>
            <w:pPr>
              <w:jc w:val="center"/>
              <w:ind w:left="2272"/>
              <w:spacing w:after="0"/>
              <w:rPr>
                <w:sz w:val="20"/>
                <w:szCs w:val="20"/>
                <w:color w:val="auto"/>
              </w:rPr>
            </w:pPr>
            <w:r>
              <w:rPr>
                <w:rFonts w:ascii="Arial" w:cs="Arial" w:eastAsia="Arial" w:hAnsi="Arial"/>
                <w:sz w:val="18"/>
                <w:szCs w:val="18"/>
                <w:color w:val="auto"/>
                <w:w w:val="91"/>
              </w:rPr>
              <w:t>100%</w:t>
            </w:r>
          </w:p>
        </w:tc>
      </w:tr>
      <w:tr>
        <w:trPr>
          <w:trHeight w:val="216"/>
        </w:trPr>
        <w:tc>
          <w:tcPr>
            <w:tcW w:w="1300" w:type="dxa"/>
            <w:vAlign w:val="bottom"/>
          </w:tcPr>
          <w:p>
            <w:pPr>
              <w:spacing w:after="0"/>
              <w:rPr>
                <w:sz w:val="18"/>
                <w:szCs w:val="18"/>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8"/>
                <w:szCs w:val="18"/>
                <w:color w:val="auto"/>
                <w:w w:val="87"/>
              </w:rPr>
              <w:t>6th</w:t>
            </w:r>
          </w:p>
        </w:tc>
        <w:tc>
          <w:tcPr>
            <w:tcW w:w="4820" w:type="dxa"/>
            <w:vAlign w:val="bottom"/>
            <w:gridSpan w:val="2"/>
          </w:tcPr>
          <w:p>
            <w:pPr>
              <w:jc w:val="center"/>
              <w:ind w:left="2272"/>
              <w:spacing w:after="0"/>
              <w:rPr>
                <w:sz w:val="20"/>
                <w:szCs w:val="20"/>
                <w:color w:val="auto"/>
              </w:rPr>
            </w:pPr>
            <w:r>
              <w:rPr>
                <w:rFonts w:ascii="Arial" w:cs="Arial" w:eastAsia="Arial" w:hAnsi="Arial"/>
                <w:sz w:val="18"/>
                <w:szCs w:val="18"/>
                <w:color w:val="auto"/>
                <w:w w:val="94"/>
              </w:rPr>
              <w:t>75%</w:t>
            </w:r>
          </w:p>
        </w:tc>
      </w:tr>
      <w:tr>
        <w:trPr>
          <w:trHeight w:val="216"/>
        </w:trPr>
        <w:tc>
          <w:tcPr>
            <w:tcW w:w="1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7"/>
              </w:rPr>
              <w:t>7th</w:t>
            </w:r>
          </w:p>
        </w:tc>
        <w:tc>
          <w:tcPr>
            <w:tcW w:w="4820" w:type="dxa"/>
            <w:vAlign w:val="bottom"/>
            <w:gridSpan w:val="2"/>
            <w:shd w:val="clear" w:color="auto" w:fill="CCEEFF"/>
          </w:tcPr>
          <w:p>
            <w:pPr>
              <w:jc w:val="center"/>
              <w:ind w:left="2272"/>
              <w:spacing w:after="0"/>
              <w:rPr>
                <w:sz w:val="20"/>
                <w:szCs w:val="20"/>
                <w:color w:val="auto"/>
              </w:rPr>
            </w:pPr>
            <w:r>
              <w:rPr>
                <w:rFonts w:ascii="Arial" w:cs="Arial" w:eastAsia="Arial" w:hAnsi="Arial"/>
                <w:sz w:val="18"/>
                <w:szCs w:val="18"/>
                <w:color w:val="auto"/>
                <w:w w:val="94"/>
              </w:rPr>
              <w:t>50%</w:t>
            </w:r>
          </w:p>
        </w:tc>
      </w:tr>
      <w:tr>
        <w:trPr>
          <w:trHeight w:val="216"/>
        </w:trPr>
        <w:tc>
          <w:tcPr>
            <w:tcW w:w="1300" w:type="dxa"/>
            <w:vAlign w:val="bottom"/>
          </w:tcPr>
          <w:p>
            <w:pPr>
              <w:spacing w:after="0"/>
              <w:rPr>
                <w:sz w:val="18"/>
                <w:szCs w:val="18"/>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8"/>
                <w:szCs w:val="18"/>
                <w:color w:val="auto"/>
                <w:w w:val="87"/>
              </w:rPr>
              <w:t>8th</w:t>
            </w:r>
          </w:p>
        </w:tc>
        <w:tc>
          <w:tcPr>
            <w:tcW w:w="4820" w:type="dxa"/>
            <w:vAlign w:val="bottom"/>
            <w:gridSpan w:val="2"/>
          </w:tcPr>
          <w:p>
            <w:pPr>
              <w:jc w:val="center"/>
              <w:ind w:left="2292"/>
              <w:spacing w:after="0"/>
              <w:rPr>
                <w:sz w:val="20"/>
                <w:szCs w:val="20"/>
                <w:color w:val="auto"/>
              </w:rPr>
            </w:pPr>
            <w:r>
              <w:rPr>
                <w:rFonts w:ascii="Arial" w:cs="Arial" w:eastAsia="Arial" w:hAnsi="Arial"/>
                <w:sz w:val="18"/>
                <w:szCs w:val="18"/>
                <w:color w:val="auto"/>
                <w:w w:val="92"/>
              </w:rPr>
              <w:t>0%</w:t>
            </w:r>
          </w:p>
        </w:tc>
      </w:tr>
      <w:tr>
        <w:trPr>
          <w:trHeight w:val="216"/>
        </w:trPr>
        <w:tc>
          <w:tcPr>
            <w:tcW w:w="1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7"/>
              </w:rPr>
              <w:t>9th</w:t>
            </w:r>
          </w:p>
        </w:tc>
        <w:tc>
          <w:tcPr>
            <w:tcW w:w="4820" w:type="dxa"/>
            <w:vAlign w:val="bottom"/>
            <w:gridSpan w:val="2"/>
            <w:shd w:val="clear" w:color="auto" w:fill="CCEEFF"/>
          </w:tcPr>
          <w:p>
            <w:pPr>
              <w:jc w:val="center"/>
              <w:ind w:left="2292"/>
              <w:spacing w:after="0"/>
              <w:rPr>
                <w:sz w:val="20"/>
                <w:szCs w:val="20"/>
                <w:color w:val="auto"/>
              </w:rPr>
            </w:pPr>
            <w:r>
              <w:rPr>
                <w:rFonts w:ascii="Arial" w:cs="Arial" w:eastAsia="Arial" w:hAnsi="Arial"/>
                <w:sz w:val="18"/>
                <w:szCs w:val="18"/>
                <w:color w:val="auto"/>
                <w:w w:val="92"/>
              </w:rPr>
              <w:t>0%</w:t>
            </w:r>
          </w:p>
        </w:tc>
      </w:tr>
      <w:tr>
        <w:trPr>
          <w:trHeight w:val="230"/>
        </w:trPr>
        <w:tc>
          <w:tcPr>
            <w:tcW w:w="1300" w:type="dxa"/>
            <w:vAlign w:val="bottom"/>
          </w:tcPr>
          <w:p>
            <w:pPr>
              <w:spacing w:after="0"/>
              <w:rPr>
                <w:sz w:val="20"/>
                <w:szCs w:val="20"/>
                <w:color w:val="auto"/>
              </w:rPr>
            </w:pPr>
          </w:p>
        </w:tc>
        <w:tc>
          <w:tcPr>
            <w:tcW w:w="1640" w:type="dxa"/>
            <w:vAlign w:val="bottom"/>
            <w:gridSpan w:val="2"/>
          </w:tcPr>
          <w:p>
            <w:pPr>
              <w:jc w:val="center"/>
              <w:ind w:right="840"/>
              <w:spacing w:after="0"/>
              <w:rPr>
                <w:sz w:val="20"/>
                <w:szCs w:val="20"/>
                <w:color w:val="auto"/>
              </w:rPr>
            </w:pPr>
            <w:r>
              <w:rPr>
                <w:rFonts w:ascii="Arial" w:cs="Arial" w:eastAsia="Arial" w:hAnsi="Arial"/>
                <w:sz w:val="18"/>
                <w:szCs w:val="18"/>
                <w:color w:val="auto"/>
                <w:w w:val="91"/>
              </w:rPr>
              <w:t>10th</w:t>
            </w:r>
          </w:p>
        </w:tc>
        <w:tc>
          <w:tcPr>
            <w:tcW w:w="4820" w:type="dxa"/>
            <w:vAlign w:val="bottom"/>
            <w:gridSpan w:val="2"/>
          </w:tcPr>
          <w:p>
            <w:pPr>
              <w:jc w:val="center"/>
              <w:ind w:left="2292"/>
              <w:spacing w:after="0"/>
              <w:rPr>
                <w:sz w:val="20"/>
                <w:szCs w:val="20"/>
                <w:color w:val="auto"/>
              </w:rPr>
            </w:pPr>
            <w:r>
              <w:rPr>
                <w:rFonts w:ascii="Arial" w:cs="Arial" w:eastAsia="Arial" w:hAnsi="Arial"/>
                <w:sz w:val="18"/>
                <w:szCs w:val="18"/>
                <w:color w:val="auto"/>
                <w:w w:val="92"/>
              </w:rPr>
              <w:t>0%</w:t>
            </w:r>
          </w:p>
        </w:tc>
      </w:tr>
      <w:tr>
        <w:trPr>
          <w:trHeight w:val="350"/>
        </w:trPr>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80" w:type="dxa"/>
            <w:vAlign w:val="bottom"/>
          </w:tcPr>
          <w:p>
            <w:pPr>
              <w:jc w:val="right"/>
              <w:ind w:right="1272"/>
              <w:spacing w:after="0"/>
              <w:rPr>
                <w:sz w:val="20"/>
                <w:szCs w:val="20"/>
                <w:color w:val="auto"/>
              </w:rPr>
            </w:pPr>
            <w:r>
              <w:rPr>
                <w:rFonts w:ascii="Arial" w:cs="Arial" w:eastAsia="Arial" w:hAnsi="Arial"/>
                <w:sz w:val="18"/>
                <w:szCs w:val="18"/>
                <w:color w:val="auto"/>
              </w:rPr>
              <w:t>15</w:t>
            </w:r>
          </w:p>
        </w:tc>
        <w:tc>
          <w:tcPr>
            <w:tcW w:w="2440" w:type="dxa"/>
            <w:vAlign w:val="bottom"/>
          </w:tcPr>
          <w:p>
            <w:pPr>
              <w:spacing w:after="0"/>
              <w:rPr>
                <w:sz w:val="24"/>
                <w:szCs w:val="24"/>
                <w:color w:val="auto"/>
              </w:rPr>
            </w:pPr>
          </w:p>
        </w:tc>
      </w:tr>
    </w:tbl>
    <w:p>
      <w:pPr>
        <w:sectPr>
          <w:pgSz w:w="11900" w:h="16838" w:orient="portrait"/>
          <w:cols w:equalWidth="0" w:num="1">
            <w:col w:w="10220"/>
          </w:cols>
          <w:pgMar w:left="1440" w:top="274"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C-3</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Percentage of Performance Shares Earned Schedule</w:t>
      </w:r>
    </w:p>
    <w:p>
      <w:pPr>
        <w:spacing w:after="0" w:line="229" w:lineRule="exact"/>
        <w:rPr>
          <w:sz w:val="20"/>
          <w:szCs w:val="20"/>
          <w:color w:val="auto"/>
        </w:rPr>
      </w:pPr>
    </w:p>
    <w:p>
      <w:pPr>
        <w:ind w:left="1560"/>
        <w:spacing w:after="0"/>
        <w:rPr>
          <w:sz w:val="20"/>
          <w:szCs w:val="20"/>
          <w:color w:val="auto"/>
        </w:rPr>
      </w:pPr>
      <w:r>
        <w:rPr>
          <w:rFonts w:ascii="Arial" w:cs="Arial" w:eastAsia="Arial" w:hAnsi="Arial"/>
          <w:sz w:val="18"/>
          <w:szCs w:val="18"/>
          <w:i w:val="1"/>
          <w:iCs w:val="1"/>
          <w:color w:val="auto"/>
        </w:rPr>
        <w:t>Use this schedule if number of Comparison Companies plus the Corporation is 9:</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87"/>
        </w:trPr>
        <w:tc>
          <w:tcPr>
            <w:tcW w:w="2940" w:type="dxa"/>
            <w:vAlign w:val="bottom"/>
            <w:gridSpan w:val="3"/>
          </w:tcPr>
          <w:p>
            <w:pPr>
              <w:ind w:left="1300"/>
              <w:spacing w:after="0"/>
              <w:rPr>
                <w:sz w:val="20"/>
                <w:szCs w:val="20"/>
                <w:color w:val="auto"/>
              </w:rPr>
            </w:pPr>
            <w:r>
              <w:rPr>
                <w:rFonts w:ascii="Arial" w:cs="Arial" w:eastAsia="Arial" w:hAnsi="Arial"/>
                <w:sz w:val="14"/>
                <w:szCs w:val="14"/>
                <w:color w:val="auto"/>
              </w:rPr>
              <w:t>TSR Ranking</w:t>
            </w:r>
          </w:p>
        </w:tc>
        <w:tc>
          <w:tcPr>
            <w:tcW w:w="4820" w:type="dxa"/>
            <w:vAlign w:val="bottom"/>
            <w:gridSpan w:val="2"/>
          </w:tcPr>
          <w:p>
            <w:pPr>
              <w:ind w:left="2380"/>
              <w:spacing w:after="0"/>
              <w:rPr>
                <w:sz w:val="20"/>
                <w:szCs w:val="20"/>
                <w:color w:val="auto"/>
              </w:rPr>
            </w:pPr>
            <w:r>
              <w:rPr>
                <w:rFonts w:ascii="Arial" w:cs="Arial" w:eastAsia="Arial" w:hAnsi="Arial"/>
                <w:sz w:val="14"/>
                <w:szCs w:val="14"/>
                <w:color w:val="auto"/>
                <w:w w:val="90"/>
              </w:rPr>
              <w:t>Percentage of Performance Shares Earned</w:t>
            </w:r>
          </w:p>
        </w:tc>
      </w:tr>
      <w:tr>
        <w:trPr>
          <w:trHeight w:val="203"/>
        </w:trPr>
        <w:tc>
          <w:tcPr>
            <w:tcW w:w="1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1st</w:t>
            </w:r>
          </w:p>
        </w:tc>
        <w:tc>
          <w:tcPr>
            <w:tcW w:w="86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200%</w:t>
            </w:r>
          </w:p>
        </w:tc>
      </w:tr>
      <w:tr>
        <w:trPr>
          <w:trHeight w:val="216"/>
        </w:trPr>
        <w:tc>
          <w:tcPr>
            <w:tcW w:w="1300" w:type="dxa"/>
            <w:vAlign w:val="bottom"/>
          </w:tcPr>
          <w:p>
            <w:pPr>
              <w:spacing w:after="0"/>
              <w:rPr>
                <w:sz w:val="18"/>
                <w:szCs w:val="18"/>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8"/>
                <w:szCs w:val="18"/>
                <w:color w:val="auto"/>
                <w:w w:val="86"/>
              </w:rPr>
              <w:t>2nd</w:t>
            </w:r>
          </w:p>
        </w:tc>
        <w:tc>
          <w:tcPr>
            <w:tcW w:w="4820" w:type="dxa"/>
            <w:vAlign w:val="bottom"/>
            <w:gridSpan w:val="2"/>
          </w:tcPr>
          <w:p>
            <w:pPr>
              <w:jc w:val="center"/>
              <w:ind w:left="2272"/>
              <w:spacing w:after="0"/>
              <w:rPr>
                <w:sz w:val="20"/>
                <w:szCs w:val="20"/>
                <w:color w:val="auto"/>
              </w:rPr>
            </w:pPr>
            <w:r>
              <w:rPr>
                <w:rFonts w:ascii="Arial" w:cs="Arial" w:eastAsia="Arial" w:hAnsi="Arial"/>
                <w:sz w:val="18"/>
                <w:szCs w:val="18"/>
                <w:color w:val="auto"/>
                <w:w w:val="91"/>
              </w:rPr>
              <w:t>167%</w:t>
            </w:r>
          </w:p>
        </w:tc>
      </w:tr>
      <w:tr>
        <w:trPr>
          <w:trHeight w:val="216"/>
        </w:trPr>
        <w:tc>
          <w:tcPr>
            <w:tcW w:w="1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92"/>
              </w:rPr>
              <w:t>3rd</w:t>
            </w:r>
          </w:p>
        </w:tc>
        <w:tc>
          <w:tcPr>
            <w:tcW w:w="4820" w:type="dxa"/>
            <w:vAlign w:val="bottom"/>
            <w:gridSpan w:val="2"/>
            <w:shd w:val="clear" w:color="auto" w:fill="CCEEFF"/>
          </w:tcPr>
          <w:p>
            <w:pPr>
              <w:jc w:val="center"/>
              <w:ind w:left="2272"/>
              <w:spacing w:after="0"/>
              <w:rPr>
                <w:sz w:val="20"/>
                <w:szCs w:val="20"/>
                <w:color w:val="auto"/>
              </w:rPr>
            </w:pPr>
            <w:r>
              <w:rPr>
                <w:rFonts w:ascii="Arial" w:cs="Arial" w:eastAsia="Arial" w:hAnsi="Arial"/>
                <w:sz w:val="18"/>
                <w:szCs w:val="18"/>
                <w:color w:val="auto"/>
                <w:w w:val="91"/>
              </w:rPr>
              <w:t>133%</w:t>
            </w:r>
          </w:p>
        </w:tc>
      </w:tr>
      <w:tr>
        <w:trPr>
          <w:trHeight w:val="216"/>
        </w:trPr>
        <w:tc>
          <w:tcPr>
            <w:tcW w:w="1300" w:type="dxa"/>
            <w:vAlign w:val="bottom"/>
          </w:tcPr>
          <w:p>
            <w:pPr>
              <w:spacing w:after="0"/>
              <w:rPr>
                <w:sz w:val="18"/>
                <w:szCs w:val="18"/>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8"/>
                <w:szCs w:val="18"/>
                <w:color w:val="auto"/>
                <w:w w:val="87"/>
              </w:rPr>
              <w:t>4th</w:t>
            </w:r>
          </w:p>
        </w:tc>
        <w:tc>
          <w:tcPr>
            <w:tcW w:w="4820" w:type="dxa"/>
            <w:vAlign w:val="bottom"/>
            <w:gridSpan w:val="2"/>
          </w:tcPr>
          <w:p>
            <w:pPr>
              <w:jc w:val="center"/>
              <w:ind w:left="2272"/>
              <w:spacing w:after="0"/>
              <w:rPr>
                <w:sz w:val="20"/>
                <w:szCs w:val="20"/>
                <w:color w:val="auto"/>
              </w:rPr>
            </w:pPr>
            <w:r>
              <w:rPr>
                <w:rFonts w:ascii="Arial" w:cs="Arial" w:eastAsia="Arial" w:hAnsi="Arial"/>
                <w:sz w:val="18"/>
                <w:szCs w:val="18"/>
                <w:color w:val="auto"/>
                <w:w w:val="91"/>
              </w:rPr>
              <w:t>100%</w:t>
            </w:r>
          </w:p>
        </w:tc>
      </w:tr>
      <w:tr>
        <w:trPr>
          <w:trHeight w:val="216"/>
        </w:trPr>
        <w:tc>
          <w:tcPr>
            <w:tcW w:w="1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7"/>
              </w:rPr>
              <w:t>5th</w:t>
            </w:r>
          </w:p>
        </w:tc>
        <w:tc>
          <w:tcPr>
            <w:tcW w:w="4820" w:type="dxa"/>
            <w:vAlign w:val="bottom"/>
            <w:gridSpan w:val="2"/>
            <w:shd w:val="clear" w:color="auto" w:fill="CCEEFF"/>
          </w:tcPr>
          <w:p>
            <w:pPr>
              <w:jc w:val="center"/>
              <w:ind w:left="2272"/>
              <w:spacing w:after="0"/>
              <w:rPr>
                <w:sz w:val="20"/>
                <w:szCs w:val="20"/>
                <w:color w:val="auto"/>
              </w:rPr>
            </w:pPr>
            <w:r>
              <w:rPr>
                <w:rFonts w:ascii="Arial" w:cs="Arial" w:eastAsia="Arial" w:hAnsi="Arial"/>
                <w:sz w:val="18"/>
                <w:szCs w:val="18"/>
                <w:color w:val="auto"/>
                <w:w w:val="94"/>
              </w:rPr>
              <w:t>83%</w:t>
            </w:r>
          </w:p>
        </w:tc>
      </w:tr>
      <w:tr>
        <w:trPr>
          <w:trHeight w:val="216"/>
        </w:trPr>
        <w:tc>
          <w:tcPr>
            <w:tcW w:w="1300" w:type="dxa"/>
            <w:vAlign w:val="bottom"/>
          </w:tcPr>
          <w:p>
            <w:pPr>
              <w:spacing w:after="0"/>
              <w:rPr>
                <w:sz w:val="18"/>
                <w:szCs w:val="18"/>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8"/>
                <w:szCs w:val="18"/>
                <w:color w:val="auto"/>
                <w:w w:val="87"/>
              </w:rPr>
              <w:t>6th</w:t>
            </w:r>
          </w:p>
        </w:tc>
        <w:tc>
          <w:tcPr>
            <w:tcW w:w="4820" w:type="dxa"/>
            <w:vAlign w:val="bottom"/>
            <w:gridSpan w:val="2"/>
          </w:tcPr>
          <w:p>
            <w:pPr>
              <w:jc w:val="center"/>
              <w:ind w:left="2272"/>
              <w:spacing w:after="0"/>
              <w:rPr>
                <w:sz w:val="20"/>
                <w:szCs w:val="20"/>
                <w:color w:val="auto"/>
              </w:rPr>
            </w:pPr>
            <w:r>
              <w:rPr>
                <w:rFonts w:ascii="Arial" w:cs="Arial" w:eastAsia="Arial" w:hAnsi="Arial"/>
                <w:sz w:val="18"/>
                <w:szCs w:val="18"/>
                <w:color w:val="auto"/>
                <w:w w:val="94"/>
              </w:rPr>
              <w:t>67%</w:t>
            </w:r>
          </w:p>
        </w:tc>
      </w:tr>
      <w:tr>
        <w:trPr>
          <w:trHeight w:val="216"/>
        </w:trPr>
        <w:tc>
          <w:tcPr>
            <w:tcW w:w="1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7"/>
              </w:rPr>
              <w:t>7th</w:t>
            </w:r>
          </w:p>
        </w:tc>
        <w:tc>
          <w:tcPr>
            <w:tcW w:w="4820" w:type="dxa"/>
            <w:vAlign w:val="bottom"/>
            <w:gridSpan w:val="2"/>
            <w:shd w:val="clear" w:color="auto" w:fill="CCEEFF"/>
          </w:tcPr>
          <w:p>
            <w:pPr>
              <w:jc w:val="center"/>
              <w:ind w:left="2272"/>
              <w:spacing w:after="0"/>
              <w:rPr>
                <w:sz w:val="20"/>
                <w:szCs w:val="20"/>
                <w:color w:val="auto"/>
              </w:rPr>
            </w:pPr>
            <w:r>
              <w:rPr>
                <w:rFonts w:ascii="Arial" w:cs="Arial" w:eastAsia="Arial" w:hAnsi="Arial"/>
                <w:sz w:val="18"/>
                <w:szCs w:val="18"/>
                <w:color w:val="auto"/>
                <w:w w:val="94"/>
              </w:rPr>
              <w:t>50%</w:t>
            </w:r>
          </w:p>
        </w:tc>
      </w:tr>
      <w:tr>
        <w:trPr>
          <w:trHeight w:val="216"/>
        </w:trPr>
        <w:tc>
          <w:tcPr>
            <w:tcW w:w="1300" w:type="dxa"/>
            <w:vAlign w:val="bottom"/>
          </w:tcPr>
          <w:p>
            <w:pPr>
              <w:spacing w:after="0"/>
              <w:rPr>
                <w:sz w:val="18"/>
                <w:szCs w:val="18"/>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8"/>
                <w:szCs w:val="18"/>
                <w:color w:val="auto"/>
                <w:w w:val="87"/>
              </w:rPr>
              <w:t>8th</w:t>
            </w:r>
          </w:p>
        </w:tc>
        <w:tc>
          <w:tcPr>
            <w:tcW w:w="4820" w:type="dxa"/>
            <w:vAlign w:val="bottom"/>
            <w:gridSpan w:val="2"/>
          </w:tcPr>
          <w:p>
            <w:pPr>
              <w:jc w:val="center"/>
              <w:ind w:left="2292"/>
              <w:spacing w:after="0"/>
              <w:rPr>
                <w:sz w:val="20"/>
                <w:szCs w:val="20"/>
                <w:color w:val="auto"/>
              </w:rPr>
            </w:pPr>
            <w:r>
              <w:rPr>
                <w:rFonts w:ascii="Arial" w:cs="Arial" w:eastAsia="Arial" w:hAnsi="Arial"/>
                <w:sz w:val="18"/>
                <w:szCs w:val="18"/>
                <w:color w:val="auto"/>
                <w:w w:val="92"/>
              </w:rPr>
              <w:t>0%</w:t>
            </w:r>
          </w:p>
        </w:tc>
      </w:tr>
      <w:tr>
        <w:trPr>
          <w:trHeight w:val="216"/>
        </w:trPr>
        <w:tc>
          <w:tcPr>
            <w:tcW w:w="1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7"/>
              </w:rPr>
              <w:t>9th</w:t>
            </w:r>
          </w:p>
        </w:tc>
        <w:tc>
          <w:tcPr>
            <w:tcW w:w="4820" w:type="dxa"/>
            <w:vAlign w:val="bottom"/>
            <w:gridSpan w:val="2"/>
            <w:shd w:val="clear" w:color="auto" w:fill="CCEEFF"/>
          </w:tcPr>
          <w:p>
            <w:pPr>
              <w:jc w:val="center"/>
              <w:ind w:left="2292"/>
              <w:spacing w:after="0"/>
              <w:rPr>
                <w:sz w:val="20"/>
                <w:szCs w:val="20"/>
                <w:color w:val="auto"/>
              </w:rPr>
            </w:pPr>
            <w:r>
              <w:rPr>
                <w:rFonts w:ascii="Arial" w:cs="Arial" w:eastAsia="Arial" w:hAnsi="Arial"/>
                <w:sz w:val="18"/>
                <w:szCs w:val="18"/>
                <w:color w:val="auto"/>
                <w:w w:val="92"/>
              </w:rPr>
              <w:t>0%</w:t>
            </w:r>
          </w:p>
        </w:tc>
      </w:tr>
      <w:tr>
        <w:trPr>
          <w:trHeight w:val="365"/>
        </w:trPr>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80" w:type="dxa"/>
            <w:vAlign w:val="bottom"/>
          </w:tcPr>
          <w:p>
            <w:pPr>
              <w:jc w:val="right"/>
              <w:ind w:right="1272"/>
              <w:spacing w:after="0"/>
              <w:rPr>
                <w:sz w:val="20"/>
                <w:szCs w:val="20"/>
                <w:color w:val="auto"/>
              </w:rPr>
            </w:pPr>
            <w:r>
              <w:rPr>
                <w:rFonts w:ascii="Arial" w:cs="Arial" w:eastAsia="Arial" w:hAnsi="Arial"/>
                <w:sz w:val="18"/>
                <w:szCs w:val="18"/>
                <w:color w:val="auto"/>
              </w:rPr>
              <w:t>16</w:t>
            </w:r>
          </w:p>
        </w:tc>
        <w:tc>
          <w:tcPr>
            <w:tcW w:w="2440" w:type="dxa"/>
            <w:vAlign w:val="bottom"/>
          </w:tcPr>
          <w:p>
            <w:pPr>
              <w:spacing w:after="0"/>
              <w:rPr>
                <w:sz w:val="24"/>
                <w:szCs w:val="24"/>
                <w:color w:val="auto"/>
              </w:rPr>
            </w:pPr>
          </w:p>
        </w:tc>
      </w:tr>
    </w:tbl>
    <w:p>
      <w:pPr>
        <w:sectPr>
          <w:pgSz w:w="11900" w:h="16838" w:orient="portrait"/>
          <w:cols w:equalWidth="0" w:num="1">
            <w:col w:w="10220"/>
          </w:cols>
          <w:pgMar w:left="1440" w:top="27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B. Hess, certify that:</w:t>
      </w:r>
    </w:p>
    <w:p>
      <w:pPr>
        <w:spacing w:after="0" w:line="9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Hess Corporation;</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the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B.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JOHN B. HESS</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8, 2014</w:t>
      </w:r>
    </w:p>
    <w:p>
      <w:pPr>
        <w:sectPr>
          <w:pgSz w:w="11900" w:h="16838" w:orient="portrait"/>
          <w:cols w:equalWidth="0" w:num="1">
            <w:col w:w="11420"/>
          </w:cols>
          <w:pgMar w:left="240" w:top="12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P. Rielly, certify that:</w:t>
      </w:r>
    </w:p>
    <w:p>
      <w:pPr>
        <w:spacing w:after="0" w:line="9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Hess Corporation;</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the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P. Rielly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JOHN P. RIELLY</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8, 2014</w:t>
      </w:r>
    </w:p>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Hess Corporation (the “Corporation”) on Form 10-Q for the period ending March 31, 2014 as filed with the Securities and Exchange Commission on the date hereof (the “Report”), I, John B. Hess, Chief Executive Officer of the Corporation, certify, pursuant to 18 U.S.C. Section 1350, as adopted pursuant to Section 906 of the Sarbanes-Oxley Act of 2002, that:</w:t>
      </w:r>
    </w:p>
    <w:p>
      <w:pPr>
        <w:spacing w:after="0" w:line="5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Corporation.</w:t>
      </w: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B.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JOHN B. HESS</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Date: May 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Hess Corporation and will be retained by Hess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Quarterly Report of Hess Corporation (the “Corporation”) on Form 10-Q for the period ending March 31, 2014 as filed with the Securities and Exchange Commission on the date hereof (the “Report”), I, John P. Rielly, Senior Vice President and Chief Financial Officer of the Corporation,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Corporation.</w:t>
      </w: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P. Rielly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JOHN P. RIELLY</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Date: May 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Hess Corporation and will be retained by Hess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lowerLetter"/>
      <w:start w:val="1"/>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lowerLetter"/>
      <w:start w:val="2"/>
    </w:lvl>
    <w:lvl w:ilvl="1">
      <w:lvlJc w:val="left"/>
      <w:lvlText w:val="(%2)"/>
      <w:numFmt w:val="lowerRoman"/>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2"/>
    </w:lvl>
    <w:lvl w:ilvl="1">
      <w:lvlJc w:val="left"/>
      <w:lvlText w:val="(%2)"/>
      <w:numFmt w:val="lowerLetter"/>
      <w:start w:val="1"/>
    </w:lvl>
  </w:abstractNum>
  <w:abstractNum w:abstractNumId="23">
    <w:nsid w:val="7C3DBD3D"/>
    <w:multiLevelType w:val="hybridMultilevel"/>
    <w:lvl w:ilvl="0">
      <w:lvlJc w:val="left"/>
      <w:lvlText w:val="(%1)"/>
      <w:numFmt w:val="lowerLetter"/>
      <w:start w:val="3"/>
    </w:lvl>
  </w:abstractNum>
  <w:abstractNum w:abstractNumId="24">
    <w:nsid w:val="737B8DDC"/>
    <w:multiLevelType w:val="hybridMultilevel"/>
    <w:lvl w:ilvl="0">
      <w:lvlJc w:val="left"/>
      <w:lvlText w:val="%1."/>
      <w:numFmt w:val="decimal"/>
      <w:start w:val="5"/>
    </w:lvl>
    <w:lvl w:ilvl="1">
      <w:lvlJc w:val="left"/>
      <w:lvlText w:val="(%2)"/>
      <w:numFmt w:val="lowerLetter"/>
      <w:start w:val="1"/>
    </w:lvl>
  </w:abstractNum>
  <w:abstractNum w:abstractNumId="25">
    <w:nsid w:val="6CEAF087"/>
    <w:multiLevelType w:val="hybridMultilevel"/>
    <w:lvl w:ilvl="0">
      <w:lvlJc w:val="left"/>
      <w:lvlText w:val="(%1)"/>
      <w:numFmt w:val="lowerRoman"/>
      <w:start w:val="1"/>
    </w:lvl>
  </w:abstractNum>
  <w:abstractNum w:abstractNumId="26">
    <w:nsid w:val="22221A7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2"/>
    </w:lvl>
  </w:abstractNum>
  <w:abstractNum w:abstractNumId="27">
    <w:nsid w:val="4516DDE9"/>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8">
    <w:nsid w:val="3006C83E"/>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9">
    <w:nsid w:val="614FD4A1"/>
    <w:multiLevelType w:val="hybridMultilevel"/>
    <w:lvl w:ilvl="0">
      <w:lvlJc w:val="left"/>
      <w:lvlText w:val="%1."/>
      <w:numFmt w:val="decimal"/>
      <w:start w:val="8"/>
    </w:lvl>
  </w:abstractNum>
  <w:abstractNum w:abstractNumId="30">
    <w:nsid w:val="419AC241"/>
    <w:multiLevelType w:val="hybridMultilevel"/>
    <w:lvl w:ilvl="0">
      <w:lvlJc w:val="left"/>
      <w:lvlText w:val="%1."/>
      <w:numFmt w:val="decimal"/>
      <w:start w:val="13"/>
    </w:lvl>
    <w:lvl w:ilvl="1">
      <w:lvlJc w:val="left"/>
      <w:lvlText w:val="(%2)"/>
      <w:numFmt w:val="lowerLetter"/>
      <w:start w:val="1"/>
    </w:lvl>
  </w:abstractNum>
  <w:abstractNum w:abstractNumId="31">
    <w:nsid w:val="5577F8E1"/>
    <w:multiLevelType w:val="hybridMultilevel"/>
    <w:lvl w:ilvl="0">
      <w:lvlJc w:val="left"/>
      <w:lvlText w:val="%1."/>
      <w:numFmt w:val="decimal"/>
      <w:start w:val="17"/>
    </w:lvl>
    <w:lvl w:ilvl="1">
      <w:lvlJc w:val="left"/>
      <w:lvlText w:val="(%2)"/>
      <w:numFmt w:val="lowerLetter"/>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
      <w:numFmt w:val="bullet"/>
      <w:start w:val="1"/>
    </w:lvl>
    <w:lvl w:ilvl="1">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2019-12-05T02:50:38Z</dcterms:created>
  <dcterms:modified xsi:type="dcterms:W3CDTF">2019-12-05T02:50:38Z</dcterms:modified>
</cp:coreProperties>
</file>