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CHEVRON CORP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SMITH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Midstream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4"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1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3"/>
              </w:rPr>
              <w:t>(A) or</w:t>
            </w: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Shares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08/08/2025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695,894</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vMerge w:val="restart"/>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gridSpan w:val="3"/>
            <w:vMerge w:val="restart"/>
          </w:tcPr>
          <w:p>
            <w:pPr>
              <w:jc w:val="center"/>
              <w:ind w:right="142"/>
              <w:spacing w:after="0"/>
              <w:rPr>
                <w:sz w:val="20"/>
                <w:szCs w:val="20"/>
                <w:color w:val="auto"/>
              </w:rPr>
            </w:pPr>
            <w:r>
              <w:rPr>
                <w:rFonts w:ascii="Times New Roman" w:cs="Times New Roman" w:eastAsia="Times New Roman" w:hAnsi="Times New Roman"/>
                <w:sz w:val="17"/>
                <w:szCs w:val="17"/>
                <w:color w:val="0000FF"/>
              </w:rPr>
              <w:t>78,283,296</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Shares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gridSpan w:val="3"/>
            <w:vMerge w:val="restart"/>
          </w:tcPr>
          <w:p>
            <w:pPr>
              <w:jc w:val="right"/>
              <w:ind w:right="322"/>
              <w:spacing w:after="0"/>
              <w:rPr>
                <w:sz w:val="20"/>
                <w:szCs w:val="20"/>
                <w:color w:val="auto"/>
              </w:rPr>
            </w:pPr>
            <w:r>
              <w:rPr>
                <w:rFonts w:ascii="Times New Roman" w:cs="Times New Roman" w:eastAsia="Times New Roman" w:hAnsi="Times New Roman"/>
                <w:sz w:val="17"/>
                <w:szCs w:val="17"/>
                <w:color w:val="0000FF"/>
              </w:rPr>
              <w:t>449,000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gridSpan w:val="11"/>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Opco</w:t>
            </w: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695,894</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03" w:lineRule="exact"/>
              <w:rPr>
                <w:sz w:val="20"/>
                <w:szCs w:val="20"/>
                <w:color w:val="auto"/>
              </w:rPr>
            </w:pPr>
            <w:r>
              <w:rPr>
                <w:rFonts w:ascii="Times New Roman" w:cs="Times New Roman" w:eastAsia="Times New Roman" w:hAnsi="Times New Roman"/>
                <w:sz w:val="11"/>
                <w:szCs w:val="11"/>
                <w:color w:val="0000FF"/>
              </w:rPr>
              <w:t>Class B</w:t>
            </w: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280"/>
              <w:spacing w:after="0" w:line="103" w:lineRule="exact"/>
              <w:rPr>
                <w:sz w:val="20"/>
                <w:szCs w:val="20"/>
                <w:color w:val="auto"/>
              </w:rPr>
            </w:pPr>
            <w:r>
              <w:rPr>
                <w:rFonts w:ascii="Times New Roman" w:cs="Times New Roman" w:eastAsia="Times New Roman" w:hAnsi="Times New Roman"/>
                <w:sz w:val="11"/>
                <w:szCs w:val="11"/>
                <w:color w:val="0000FF"/>
              </w:rPr>
              <w:t>08/08/2025</w:t>
            </w:r>
          </w:p>
        </w:tc>
        <w:tc>
          <w:tcPr>
            <w:tcW w:w="1060" w:type="dxa"/>
            <w:vAlign w:val="bottom"/>
          </w:tcPr>
          <w:p>
            <w:pPr>
              <w:spacing w:after="0"/>
              <w:rPr>
                <w:sz w:val="4"/>
                <w:szCs w:val="4"/>
                <w:color w:val="auto"/>
              </w:rPr>
            </w:pPr>
          </w:p>
        </w:tc>
        <w:tc>
          <w:tcPr>
            <w:tcW w:w="620" w:type="dxa"/>
            <w:vAlign w:val="bottom"/>
            <w:vMerge w:val="restart"/>
          </w:tcPr>
          <w:p>
            <w:pPr>
              <w:ind w:left="160"/>
              <w:spacing w:after="0" w:line="103" w:lineRule="exact"/>
              <w:rPr>
                <w:sz w:val="20"/>
                <w:szCs w:val="20"/>
                <w:color w:val="auto"/>
              </w:rPr>
            </w:pPr>
            <w:r>
              <w:rPr>
                <w:rFonts w:ascii="Times New Roman" w:cs="Times New Roman" w:eastAsia="Times New Roman" w:hAnsi="Times New Roman"/>
                <w:sz w:val="11"/>
                <w:szCs w:val="11"/>
                <w:color w:val="0000FF"/>
              </w:rPr>
              <w:t>D</w:t>
            </w:r>
          </w:p>
        </w:tc>
        <w:tc>
          <w:tcPr>
            <w:tcW w:w="100" w:type="dxa"/>
            <w:vAlign w:val="bottom"/>
          </w:tcPr>
          <w:p>
            <w:pPr>
              <w:spacing w:after="0"/>
              <w:rPr>
                <w:sz w:val="4"/>
                <w:szCs w:val="4"/>
                <w:color w:val="auto"/>
              </w:rPr>
            </w:pPr>
          </w:p>
        </w:tc>
        <w:tc>
          <w:tcPr>
            <w:tcW w:w="980" w:type="dxa"/>
            <w:vAlign w:val="bottom"/>
            <w:vMerge w:val="restart"/>
          </w:tcPr>
          <w:p>
            <w:pPr>
              <w:ind w:left="440"/>
              <w:spacing w:after="0" w:line="103" w:lineRule="exact"/>
              <w:rPr>
                <w:sz w:val="20"/>
                <w:szCs w:val="20"/>
                <w:color w:val="auto"/>
              </w:rPr>
            </w:pPr>
            <w:r>
              <w:rPr>
                <w:rFonts w:ascii="Times New Roman" w:cs="Times New Roman" w:eastAsia="Times New Roman" w:hAnsi="Times New Roman"/>
                <w:sz w:val="11"/>
                <w:szCs w:val="11"/>
                <w:color w:val="0000FF"/>
              </w:rPr>
              <w:t>695,894</w:t>
            </w: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00" w:type="dxa"/>
            <w:vAlign w:val="bottom"/>
            <w:vMerge w:val="restart"/>
          </w:tcPr>
          <w:p>
            <w:pPr>
              <w:ind w:left="160"/>
              <w:spacing w:after="0" w:line="103" w:lineRule="exact"/>
              <w:rPr>
                <w:sz w:val="20"/>
                <w:szCs w:val="20"/>
                <w:color w:val="auto"/>
              </w:rPr>
            </w:pPr>
            <w:r>
              <w:rPr>
                <w:rFonts w:ascii="Times New Roman" w:cs="Times New Roman" w:eastAsia="Times New Roman" w:hAnsi="Times New Roman"/>
                <w:sz w:val="11"/>
                <w:szCs w:val="11"/>
                <w:color w:val="0000FF"/>
              </w:rPr>
              <w:t>A</w:t>
            </w:r>
          </w:p>
        </w:tc>
        <w:tc>
          <w:tcPr>
            <w:tcW w:w="640" w:type="dxa"/>
            <w:vAlign w:val="bottom"/>
            <w:vMerge w:val="continue"/>
          </w:tcPr>
          <w:p>
            <w:pPr>
              <w:spacing w:after="0"/>
              <w:rPr>
                <w:sz w:val="4"/>
                <w:szCs w:val="4"/>
                <w:color w:val="auto"/>
              </w:rPr>
            </w:pPr>
          </w:p>
        </w:tc>
        <w:tc>
          <w:tcPr>
            <w:tcW w:w="720" w:type="dxa"/>
            <w:vAlign w:val="bottom"/>
            <w:gridSpan w:val="2"/>
            <w:vMerge w:val="restart"/>
          </w:tcPr>
          <w:p>
            <w:pPr>
              <w:ind w:left="160"/>
              <w:spacing w:after="0" w:line="10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43.11</w:t>
            </w:r>
          </w:p>
        </w:tc>
        <w:tc>
          <w:tcPr>
            <w:tcW w:w="880" w:type="dxa"/>
            <w:vAlign w:val="bottom"/>
            <w:gridSpan w:val="2"/>
            <w:vMerge w:val="restart"/>
          </w:tcPr>
          <w:p>
            <w:pPr>
              <w:ind w:left="140"/>
              <w:spacing w:after="0" w:line="103" w:lineRule="exact"/>
              <w:rPr>
                <w:sz w:val="20"/>
                <w:szCs w:val="20"/>
                <w:color w:val="auto"/>
              </w:rPr>
            </w:pPr>
            <w:r>
              <w:rPr>
                <w:rFonts w:ascii="Times New Roman" w:cs="Times New Roman" w:eastAsia="Times New Roman" w:hAnsi="Times New Roman"/>
                <w:sz w:val="11"/>
                <w:szCs w:val="11"/>
                <w:color w:val="0000FF"/>
              </w:rPr>
              <w:t>78,283,296</w:t>
            </w:r>
          </w:p>
        </w:tc>
        <w:tc>
          <w:tcPr>
            <w:tcW w:w="620" w:type="dxa"/>
            <w:vAlign w:val="bottom"/>
            <w:vMerge w:val="restart"/>
          </w:tcPr>
          <w:p>
            <w:pPr>
              <w:ind w:left="360"/>
              <w:spacing w:after="0" w:line="103"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right w:val="single" w:sz="8" w:color="2C2C2C"/>
            </w:tcBorders>
            <w:gridSpan w:val="3"/>
          </w:tcPr>
          <w:p>
            <w:pPr>
              <w:ind w:left="80"/>
              <w:spacing w:after="0" w:line="57"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CHEVRON CORP</w:t>
              </w:r>
            </w:hyperlink>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1400 SMITH STREET</w:t>
            </w: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77002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HESS CORP</w:t>
              </w:r>
            </w:hyperlink>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1185 AVENUE OF THE AMERICAS</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10036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-4909820</wp:posOffset>
            </wp:positionV>
            <wp:extent cx="29210" cy="1769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210" cy="1769745"/>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7"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Hess Investments North Dakota LLC</w:t>
        </w:r>
      </w:hyperlink>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540" w:type="dxa"/>
            <w:vAlign w:val="bottom"/>
          </w:tcPr>
          <w:p>
            <w:pPr>
              <w:ind w:left="26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1185 AVENUE OF THE AMERICAS</w:t>
            </w:r>
          </w:p>
        </w:tc>
        <w:tc>
          <w:tcPr>
            <w:tcW w:w="14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10036</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540" w:type="dxa"/>
            <w:vAlign w:val="bottom"/>
          </w:tcPr>
          <w:p>
            <w:pPr>
              <w:ind w:left="26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-1015365</wp:posOffset>
            </wp:positionV>
            <wp:extent cx="2809240" cy="1093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109347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cancellation for no consideration of 695,894 Class B Shares in connection with Hess Midstream Operations LP's repurchase of 695,894 Opco Class B Units from Hess Investments North Dakota LLC ("HINDL") and the subsequent cancellation of such Opco Class B Units.</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holdings following a transaction exempt from reporting pursuant to Rule 16a-13.</w:t>
      </w:r>
    </w:p>
    <w:p>
      <w:pPr>
        <w:spacing w:after="0" w:line="43" w:lineRule="exact"/>
        <w:rPr>
          <w:rFonts w:ascii="Times New Roman" w:cs="Times New Roman" w:eastAsia="Times New Roman" w:hAnsi="Times New Roman"/>
          <w:sz w:val="13"/>
          <w:szCs w:val="13"/>
          <w:color w:val="008000"/>
        </w:rPr>
      </w:pPr>
    </w:p>
    <w:p>
      <w:pPr>
        <w:ind w:right="40"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HINDL. HINDL is an indirect, wholly owned subsidiary of Hess Corporation ("Hess"), which is a direct, wholly owned subsidiary of Chevron Corporation ("Chevron"). As a result, Chevron and Hess may be deemed to beneficially own the securities held of record by HINDL. Chevron and Hess disclaim beneficial ownership of such securities except to the extent of their pecuniary interest therein.</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Opco Class B Units may be converted at any time into Class A Shares on a one-to-one basis and have no expiration date.</w:t>
      </w:r>
    </w:p>
    <w:p>
      <w:pPr>
        <w:sectPr>
          <w:pgSz w:w="11900" w:h="16838" w:orient="portrait"/>
          <w:cols w:equalWidth="0" w:num="1">
            <w:col w:w="10780"/>
          </w:cols>
          <w:pgMar w:left="500" w:top="128" w:right="619" w:bottom="1440" w:gutter="0" w:footer="0" w:header="0"/>
        </w:sectPr>
      </w:pP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Chevron Corporation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15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Christine L. Cavallo,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3100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401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01955"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Hess Corporation By: /s/ 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71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H. Endries,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32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Hess Investments North Dakota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-1905</wp:posOffset>
            </wp:positionV>
            <wp:extent cx="1356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Kari H. Endries,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232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819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08/08/2025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08/08/2025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08/08/2025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79" w:lineRule="exact"/>
        <w:rPr>
          <w:sz w:val="20"/>
          <w:szCs w:val="20"/>
          <w:color w:val="auto"/>
        </w:rPr>
      </w:pPr>
    </w:p>
    <w:p>
      <w:pPr>
        <w:sectPr>
          <w:pgSz w:w="11900" w:h="16838" w:orient="portrait"/>
          <w:cols w:equalWidth="0" w:num="2">
            <w:col w:w="8680" w:space="80"/>
            <w:col w:w="2020"/>
          </w:cols>
          <w:pgMar w:left="500" w:top="128" w:right="6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4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8"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3" Type="http://schemas.openxmlformats.org/officeDocument/2006/relationships/hyperlink" Target="http://www.sec.gov/cgi-bin/browse-edgar?action=getcompany&amp;CIK=0000093410" TargetMode="External"/><Relationship Id="rId14" Type="http://schemas.openxmlformats.org/officeDocument/2006/relationships/hyperlink" Target="http://www.sec.gov/cgi-bin/browse-edgar?action=getcompany&amp;CIK=0001789832" TargetMode="External"/><Relationship Id="rId16" Type="http://schemas.openxmlformats.org/officeDocument/2006/relationships/hyperlink" Target="http://www.sec.gov/cgi-bin/browse-edgar?action=getcompany&amp;CIK=0000004447" TargetMode="External"/><Relationship Id="rId18" Type="http://schemas.openxmlformats.org/officeDocument/2006/relationships/hyperlink" Target="http://www.sec.gov/cgi-bin/browse-edgar?action=getcompany&amp;CIK=00017023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2025-08-08T15:41:08Z</dcterms:created>
  <dcterms:modified xsi:type="dcterms:W3CDTF">2025-08-08T15:41:08Z</dcterms:modified>
</cp:coreProperties>
</file>