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57"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225425</wp:posOffset>
            </wp:positionH>
            <wp:positionV relativeFrom="page">
              <wp:posOffset>774700</wp:posOffset>
            </wp:positionV>
            <wp:extent cx="709803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98030" cy="8255"/>
                    </a:xfrm>
                    <a:prstGeom prst="rect">
                      <a:avLst/>
                    </a:prstGeom>
                    <a:noFill/>
                  </pic:spPr>
                </pic:pic>
              </a:graphicData>
            </a:graphic>
          </wp:anchor>
        </w:drawing>
      </w:r>
    </w:p>
    <w:p>
      <w:pPr>
        <w:jc w:val="center"/>
        <w:ind w:right="-19"/>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2447925</wp:posOffset>
            </wp:positionH>
            <wp:positionV relativeFrom="paragraph">
              <wp:posOffset>81915</wp:posOffset>
            </wp:positionV>
            <wp:extent cx="224599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245995" cy="8255"/>
                    </a:xfrm>
                    <a:prstGeom prst="rect">
                      <a:avLst/>
                    </a:prstGeom>
                    <a:noFill/>
                  </pic:spPr>
                </pic:pic>
              </a:graphicData>
            </a:graphic>
          </wp:anchor>
        </w:drawing>
      </w:r>
    </w:p>
    <w:p>
      <w:pPr>
        <w:spacing w:after="0" w:line="230" w:lineRule="exact"/>
        <w:rPr>
          <w:sz w:val="24"/>
          <w:szCs w:val="24"/>
          <w:color w:val="auto"/>
        </w:rPr>
      </w:pPr>
    </w:p>
    <w:p>
      <w:pPr>
        <w:jc w:val="center"/>
        <w:ind w:right="60"/>
        <w:spacing w:after="0"/>
        <w:rPr>
          <w:sz w:val="20"/>
          <w:szCs w:val="20"/>
          <w:color w:val="auto"/>
        </w:rPr>
      </w:pPr>
      <w:r>
        <w:rPr>
          <w:rFonts w:ascii="Arial" w:cs="Arial" w:eastAsia="Arial" w:hAnsi="Arial"/>
          <w:sz w:val="32"/>
          <w:szCs w:val="32"/>
          <w:b w:val="1"/>
          <w:bCs w:val="1"/>
          <w:color w:val="auto"/>
        </w:rPr>
        <w:t>Form 10-Q</w:t>
      </w:r>
    </w:p>
    <w:p>
      <w:pPr>
        <w:spacing w:after="0" w:line="141" w:lineRule="exact"/>
        <w:rPr>
          <w:sz w:val="24"/>
          <w:szCs w:val="24"/>
          <w:color w:val="auto"/>
        </w:rPr>
      </w:pPr>
    </w:p>
    <w:p>
      <w:pPr>
        <w:ind w:left="4020" w:right="1600" w:hanging="3994"/>
        <w:spacing w:after="0" w:line="367" w:lineRule="auto"/>
        <w:tabs>
          <w:tab w:leader="none" w:pos="483"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 xml:space="preserve">QUARTERLY REPORT PURSUANT TO SECTION 13 OR 15(d) OF THE SECURITIES EXCHANGE ACT OF 1934 For the quarter ended </w:t>
      </w:r>
      <w:r>
        <w:rPr>
          <w:rFonts w:ascii="Arial" w:cs="Arial" w:eastAsia="Arial" w:hAnsi="Arial"/>
          <w:sz w:val="18"/>
          <w:szCs w:val="18"/>
          <w:b w:val="1"/>
          <w:bCs w:val="1"/>
          <w:i w:val="1"/>
          <w:iCs w:val="1"/>
          <w:color w:val="auto"/>
        </w:rPr>
        <w:t>September 30, 2021</w:t>
      </w:r>
    </w:p>
    <w:p>
      <w:pPr>
        <w:spacing w:after="0" w:line="1" w:lineRule="exact"/>
        <w:rPr>
          <w:rFonts w:ascii="MS PGothic" w:cs="MS PGothic" w:eastAsia="MS PGothic" w:hAnsi="MS PGothic"/>
          <w:sz w:val="18"/>
          <w:szCs w:val="18"/>
          <w:color w:val="auto"/>
        </w:rPr>
      </w:pPr>
    </w:p>
    <w:p>
      <w:pPr>
        <w:ind w:left="5540"/>
        <w:spacing w:after="0"/>
        <w:rPr>
          <w:rFonts w:ascii="MS PGothic" w:cs="MS PGothic" w:eastAsia="MS PGothic" w:hAnsi="MS PGothic"/>
          <w:sz w:val="18"/>
          <w:szCs w:val="18"/>
          <w:color w:val="auto"/>
        </w:rPr>
      </w:pPr>
      <w:r>
        <w:rPr>
          <w:rFonts w:ascii="Arial" w:cs="Arial" w:eastAsia="Arial" w:hAnsi="Arial"/>
          <w:sz w:val="18"/>
          <w:szCs w:val="18"/>
          <w:b w:val="1"/>
          <w:bCs w:val="1"/>
          <w:color w:val="auto"/>
        </w:rPr>
        <w:t>or</w:t>
      </w:r>
    </w:p>
    <w:p>
      <w:pPr>
        <w:spacing w:after="0" w:line="144" w:lineRule="exact"/>
        <w:rPr>
          <w:sz w:val="24"/>
          <w:szCs w:val="24"/>
          <w:color w:val="auto"/>
        </w:rPr>
      </w:pPr>
    </w:p>
    <w:p>
      <w:pPr>
        <w:ind w:left="500" w:hanging="474"/>
        <w:spacing w:after="0"/>
        <w:tabs>
          <w:tab w:leader="none" w:pos="500" w:val="left"/>
        </w:tabs>
        <w:numPr>
          <w:ilvl w:val="0"/>
          <w:numId w:val="2"/>
        </w:numPr>
        <w:rPr>
          <w:rFonts w:ascii="MS PGothic" w:cs="MS PGothic" w:eastAsia="MS PGothic" w:hAnsi="MS PGothic"/>
          <w:sz w:val="17"/>
          <w:szCs w:val="17"/>
          <w:color w:val="auto"/>
        </w:rPr>
      </w:pPr>
      <w:r>
        <w:rPr>
          <w:rFonts w:ascii="Arial" w:cs="Arial" w:eastAsia="Arial" w:hAnsi="Arial"/>
          <w:sz w:val="17"/>
          <w:szCs w:val="17"/>
          <w:b w:val="1"/>
          <w:bCs w:val="1"/>
          <w:color w:val="auto"/>
        </w:rPr>
        <w:t>TRANSITION REPORT PURSUANT TO SECTION 13 OR 15(d) OF THE SECURITIES EXCHANGE ACT OF 1934</w:t>
      </w:r>
    </w:p>
    <w:p>
      <w:pPr>
        <w:spacing w:after="0" w:line="102" w:lineRule="exact"/>
        <w:rPr>
          <w:sz w:val="24"/>
          <w:szCs w:val="24"/>
          <w:color w:val="auto"/>
        </w:rPr>
      </w:pPr>
    </w:p>
    <w:p>
      <w:pPr>
        <w:ind w:left="3420"/>
        <w:spacing w:after="0"/>
        <w:tabs>
          <w:tab w:leader="none" w:pos="672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3"/>
          <w:szCs w:val="13"/>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3676650</wp:posOffset>
            </wp:positionH>
            <wp:positionV relativeFrom="paragraph">
              <wp:posOffset>-7620</wp:posOffset>
            </wp:positionV>
            <wp:extent cx="129476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94765" cy="8255"/>
                    </a:xfrm>
                    <a:prstGeom prst="rect">
                      <a:avLst/>
                    </a:prstGeom>
                    <a:noFill/>
                  </pic:spPr>
                </pic:pic>
              </a:graphicData>
            </a:graphic>
          </wp:anchor>
        </w:drawing>
      </w:r>
    </w:p>
    <w:p>
      <w:pPr>
        <w:spacing w:after="0" w:line="178"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Commission File Number 1-1204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2447925</wp:posOffset>
            </wp:positionH>
            <wp:positionV relativeFrom="paragraph">
              <wp:posOffset>85725</wp:posOffset>
            </wp:positionV>
            <wp:extent cx="224599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245995" cy="8255"/>
                    </a:xfrm>
                    <a:prstGeom prst="rect">
                      <a:avLst/>
                    </a:prstGeom>
                    <a:noFill/>
                  </pic:spPr>
                </pic:pic>
              </a:graphicData>
            </a:graphic>
          </wp:anchor>
        </w:drawing>
      </w:r>
    </w:p>
    <w:p>
      <w:pPr>
        <w:spacing w:after="0" w:line="243" w:lineRule="exact"/>
        <w:rPr>
          <w:sz w:val="24"/>
          <w:szCs w:val="24"/>
          <w:color w:val="auto"/>
        </w:rPr>
      </w:pPr>
    </w:p>
    <w:p>
      <w:pPr>
        <w:jc w:val="center"/>
        <w:ind w:right="-19"/>
        <w:spacing w:after="0"/>
        <w:rPr>
          <w:sz w:val="20"/>
          <w:szCs w:val="20"/>
          <w:color w:val="auto"/>
        </w:rPr>
      </w:pPr>
      <w:r>
        <w:rPr>
          <w:rFonts w:ascii="Arial" w:cs="Arial" w:eastAsia="Arial" w:hAnsi="Arial"/>
          <w:sz w:val="40"/>
          <w:szCs w:val="40"/>
          <w:b w:val="1"/>
          <w:bCs w:val="1"/>
          <w:color w:val="auto"/>
        </w:rPr>
        <w:t>HESS CORPORATION</w:t>
      </w:r>
    </w:p>
    <w:p>
      <w:pPr>
        <w:spacing w:after="0" w:line="4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17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DELAWARE</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(State or Other Jurisdiction of Incorporation or Organization)</w:t>
      </w:r>
    </w:p>
    <w:p>
      <w:pPr>
        <w:spacing w:after="0" w:line="16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13-4921002</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(I.R.S. Employer Identification Number)</w:t>
      </w:r>
    </w:p>
    <w:p>
      <w:pPr>
        <w:spacing w:after="0" w:line="23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1185 AVENUE OF THE AMERICAS, NEW YORK, NY</w:t>
      </w:r>
    </w:p>
    <w:p>
      <w:pPr>
        <w:spacing w:after="0" w:line="21"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(Address of Principal Executive Offices)</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10036</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(Zip Code)</w:t>
      </w:r>
    </w:p>
    <w:p>
      <w:pPr>
        <w:spacing w:after="0" w:line="9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(Registrant’s Telephone Number, Including Area Code is (212) 997-8500)</w:t>
      </w:r>
    </w:p>
    <w:p>
      <w:pPr>
        <w:spacing w:after="0" w:line="12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Securities registered pursuant to Section 12(b) of the Act:</w:t>
      </w:r>
    </w:p>
    <w:p>
      <w:pPr>
        <w:sectPr>
          <w:pgSz w:w="11900" w:h="16838" w:orient="portrait"/>
          <w:cols w:equalWidth="0" w:num="1">
            <w:col w:w="11240"/>
          </w:cols>
          <w:pgMar w:left="320" w:top="1440" w:right="339" w:bottom="1440" w:gutter="0" w:footer="0" w:header="0"/>
        </w:sectPr>
      </w:pPr>
    </w:p>
    <w:p>
      <w:pPr>
        <w:spacing w:after="0" w:line="149" w:lineRule="exact"/>
        <w:rPr>
          <w:sz w:val="24"/>
          <w:szCs w:val="24"/>
          <w:color w:val="auto"/>
        </w:rPr>
      </w:pPr>
    </w:p>
    <w:p>
      <w:pPr>
        <w:ind w:left="1520"/>
        <w:spacing w:after="0"/>
        <w:rPr>
          <w:sz w:val="20"/>
          <w:szCs w:val="20"/>
          <w:color w:val="auto"/>
        </w:rPr>
      </w:pPr>
      <w:r>
        <w:rPr>
          <w:rFonts w:ascii="Arial" w:cs="Arial" w:eastAsia="Arial" w:hAnsi="Arial"/>
          <w:sz w:val="14"/>
          <w:szCs w:val="14"/>
          <w:i w:val="1"/>
          <w:iCs w:val="1"/>
          <w:color w:val="auto"/>
        </w:rPr>
        <w:t>Title of each class</w:t>
      </w:r>
    </w:p>
    <w:p>
      <w:pPr>
        <w:spacing w:after="0" w:line="20" w:lineRule="exact"/>
        <w:rPr>
          <w:sz w:val="24"/>
          <w:szCs w:val="24"/>
          <w:color w:val="auto"/>
        </w:rPr>
      </w:pPr>
      <w:r>
        <w:rPr>
          <w:sz w:val="24"/>
          <w:szCs w:val="24"/>
          <w:color w:val="auto"/>
        </w:rPr>
        <w:br w:type="column"/>
      </w:r>
    </w:p>
    <w:p>
      <w:pPr>
        <w:spacing w:after="0" w:line="129" w:lineRule="exact"/>
        <w:rPr>
          <w:sz w:val="24"/>
          <w:szCs w:val="24"/>
          <w:color w:val="auto"/>
        </w:rPr>
      </w:pPr>
    </w:p>
    <w:p>
      <w:pPr>
        <w:spacing w:after="0"/>
        <w:rPr>
          <w:sz w:val="20"/>
          <w:szCs w:val="20"/>
          <w:color w:val="auto"/>
        </w:rPr>
      </w:pPr>
      <w:r>
        <w:rPr>
          <w:rFonts w:ascii="Arial" w:cs="Arial" w:eastAsia="Arial" w:hAnsi="Arial"/>
          <w:sz w:val="14"/>
          <w:szCs w:val="14"/>
          <w:i w:val="1"/>
          <w:iCs w:val="1"/>
          <w:color w:val="auto"/>
        </w:rPr>
        <w:t>Trading Symbol</w:t>
      </w:r>
    </w:p>
    <w:p>
      <w:pPr>
        <w:spacing w:after="0" w:line="20" w:lineRule="exact"/>
        <w:rPr>
          <w:sz w:val="24"/>
          <w:szCs w:val="24"/>
          <w:color w:val="auto"/>
        </w:rPr>
      </w:pPr>
      <w:r>
        <w:rPr>
          <w:sz w:val="24"/>
          <w:szCs w:val="24"/>
          <w:color w:val="auto"/>
        </w:rPr>
        <w:br w:type="column"/>
      </w:r>
    </w:p>
    <w:p>
      <w:pPr>
        <w:spacing w:after="0" w:line="129" w:lineRule="exact"/>
        <w:rPr>
          <w:sz w:val="24"/>
          <w:szCs w:val="24"/>
          <w:color w:val="auto"/>
        </w:rPr>
      </w:pPr>
    </w:p>
    <w:p>
      <w:pPr>
        <w:spacing w:after="0"/>
        <w:rPr>
          <w:sz w:val="20"/>
          <w:szCs w:val="20"/>
          <w:color w:val="auto"/>
        </w:rPr>
      </w:pPr>
      <w:r>
        <w:rPr>
          <w:rFonts w:ascii="Arial" w:cs="Arial" w:eastAsia="Arial" w:hAnsi="Arial"/>
          <w:sz w:val="14"/>
          <w:szCs w:val="14"/>
          <w:i w:val="1"/>
          <w:iCs w:val="1"/>
          <w:color w:val="auto"/>
        </w:rPr>
        <w:t>Name of exchange on which registered</w:t>
      </w:r>
    </w:p>
    <w:p>
      <w:pPr>
        <w:spacing w:after="0" w:line="55" w:lineRule="exact"/>
        <w:rPr>
          <w:sz w:val="24"/>
          <w:szCs w:val="24"/>
          <w:color w:val="auto"/>
        </w:rPr>
      </w:pPr>
    </w:p>
    <w:p>
      <w:pPr>
        <w:sectPr>
          <w:pgSz w:w="11900" w:h="16838" w:orient="portrait"/>
          <w:cols w:equalWidth="0" w:num="3">
            <w:col w:w="3960" w:space="720"/>
            <w:col w:w="1620" w:space="720"/>
            <w:col w:w="4220"/>
          </w:cols>
          <w:pgMar w:left="320" w:top="1440" w:right="339" w:bottom="1440" w:gutter="0" w:footer="0" w:header="0"/>
          <w:type w:val="continuous"/>
        </w:sectPr>
      </w:pPr>
    </w:p>
    <w:p>
      <w:pPr>
        <w:ind w:left="1600"/>
        <w:spacing w:after="0"/>
        <w:rPr>
          <w:sz w:val="20"/>
          <w:szCs w:val="20"/>
          <w:color w:val="auto"/>
        </w:rPr>
      </w:pPr>
      <w:r>
        <w:rPr>
          <w:rFonts w:ascii="Arial" w:cs="Arial" w:eastAsia="Arial" w:hAnsi="Arial"/>
          <w:sz w:val="14"/>
          <w:szCs w:val="14"/>
          <w:color w:val="auto"/>
        </w:rPr>
        <w:t>Common Stock</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HES</w:t>
      </w:r>
    </w:p>
    <w:p>
      <w:pPr>
        <w:spacing w:after="0" w:line="20" w:lineRule="exact"/>
        <w:rPr>
          <w:sz w:val="24"/>
          <w:szCs w:val="24"/>
          <w:color w:val="auto"/>
        </w:rPr>
      </w:pPr>
      <w:r>
        <w:rPr>
          <w:sz w:val="24"/>
          <w:szCs w:val="24"/>
          <w:color w:val="auto"/>
        </w:rPr>
        <w:br w:type="column"/>
      </w:r>
    </w:p>
    <w:p>
      <w:pPr>
        <w:jc w:val="center"/>
        <w:ind w:right="2100"/>
        <w:spacing w:after="0"/>
        <w:rPr>
          <w:sz w:val="20"/>
          <w:szCs w:val="20"/>
          <w:color w:val="auto"/>
        </w:rPr>
      </w:pPr>
      <w:r>
        <w:rPr>
          <w:rFonts w:ascii="Arial" w:cs="Arial" w:eastAsia="Arial" w:hAnsi="Arial"/>
          <w:sz w:val="14"/>
          <w:szCs w:val="14"/>
          <w:color w:val="auto"/>
        </w:rPr>
        <w:t>New York Stock Exchange</w:t>
      </w:r>
    </w:p>
    <w:p>
      <w:pPr>
        <w:spacing w:after="0" w:line="123" w:lineRule="exact"/>
        <w:rPr>
          <w:sz w:val="24"/>
          <w:szCs w:val="24"/>
          <w:color w:val="auto"/>
        </w:rPr>
      </w:pPr>
    </w:p>
    <w:p>
      <w:pPr>
        <w:sectPr>
          <w:pgSz w:w="11900" w:h="16838" w:orient="portrait"/>
          <w:cols w:equalWidth="0" w:num="3">
            <w:col w:w="4320" w:space="720"/>
            <w:col w:w="1640" w:space="720"/>
            <w:col w:w="3840"/>
          </w:cols>
          <w:pgMar w:left="320" w:top="1440" w:right="339" w:bottom="1440" w:gutter="0" w:footer="0" w:header="0"/>
          <w:type w:val="continuous"/>
        </w:sectPr>
      </w:pPr>
    </w:p>
    <w:p>
      <w:pPr>
        <w:jc w:val="both"/>
        <w:spacing w:after="0" w:line="201"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48" w:lineRule="exact"/>
        <w:rPr>
          <w:sz w:val="24"/>
          <w:szCs w:val="24"/>
          <w:color w:val="auto"/>
        </w:rPr>
      </w:pPr>
    </w:p>
    <w:p>
      <w:pPr>
        <w:jc w:val="both"/>
        <w:spacing w:after="0" w:line="207" w:lineRule="exact"/>
        <w:rPr>
          <w:sz w:val="20"/>
          <w:szCs w:val="20"/>
          <w:color w:val="auto"/>
        </w:rPr>
      </w:pPr>
      <w:r>
        <w:rPr>
          <w:rFonts w:ascii="Arial" w:cs="Arial" w:eastAsia="Arial" w:hAnsi="Arial"/>
          <w:sz w:val="15"/>
          <w:szCs w:val="15"/>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5"/>
          <w:szCs w:val="15"/>
          <w:color w:val="auto"/>
        </w:rPr>
        <w:t>☒</w:t>
      </w:r>
      <w:r>
        <w:rPr>
          <w:rFonts w:ascii="Arial" w:cs="Arial" w:eastAsia="Arial" w:hAnsi="Arial"/>
          <w:sz w:val="15"/>
          <w:szCs w:val="15"/>
          <w:color w:val="auto"/>
        </w:rPr>
        <w:t xml:space="preserve"> No </w:t>
      </w:r>
      <w:r>
        <w:rPr>
          <w:rFonts w:ascii="MS PGothic" w:cs="MS PGothic" w:eastAsia="MS PGothic" w:hAnsi="MS PGothic"/>
          <w:sz w:val="15"/>
          <w:szCs w:val="15"/>
          <w:color w:val="auto"/>
        </w:rPr>
        <w:t>☐</w:t>
      </w:r>
    </w:p>
    <w:p>
      <w:pPr>
        <w:spacing w:after="0" w:line="33" w:lineRule="exact"/>
        <w:rPr>
          <w:sz w:val="24"/>
          <w:szCs w:val="24"/>
          <w:color w:val="auto"/>
        </w:rPr>
      </w:pPr>
    </w:p>
    <w:p>
      <w:pPr>
        <w:ind w:right="80"/>
        <w:spacing w:after="0" w:line="261"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65" w:lineRule="exact"/>
        <w:rPr>
          <w:sz w:val="24"/>
          <w:szCs w:val="24"/>
          <w:color w:val="auto"/>
        </w:rPr>
      </w:pPr>
    </w:p>
    <w:tbl>
      <w:tblPr>
        <w:tblLayout w:type="fixed"/>
        <w:tblInd w:w="20" w:type="dxa"/>
        <w:tblCellMar>
          <w:top w:w="0" w:type="dxa"/>
          <w:left w:w="0" w:type="dxa"/>
          <w:bottom w:w="0" w:type="dxa"/>
          <w:right w:w="0" w:type="dxa"/>
        </w:tblCellMar>
      </w:tblPr>
      <w:tr>
        <w:trPr>
          <w:trHeight w:val="229"/>
        </w:trPr>
        <w:tc>
          <w:tcPr>
            <w:tcW w:w="308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1860" w:type="dxa"/>
            <w:vAlign w:val="bottom"/>
          </w:tcPr>
          <w:p>
            <w:pPr>
              <w:ind w:left="1280"/>
              <w:spacing w:after="0" w:line="181" w:lineRule="exact"/>
              <w:rPr>
                <w:sz w:val="20"/>
                <w:szCs w:val="20"/>
                <w:color w:val="auto"/>
              </w:rPr>
            </w:pPr>
            <w:r>
              <w:rPr>
                <w:rFonts w:ascii="MS PGothic" w:cs="MS PGothic" w:eastAsia="MS PGothic" w:hAnsi="MS PGothic"/>
                <w:sz w:val="18"/>
                <w:szCs w:val="18"/>
                <w:color w:val="auto"/>
              </w:rPr>
              <w:t>☒</w:t>
            </w:r>
          </w:p>
        </w:tc>
        <w:tc>
          <w:tcPr>
            <w:tcW w:w="3620" w:type="dxa"/>
            <w:vAlign w:val="bottom"/>
          </w:tcPr>
          <w:p>
            <w:pPr>
              <w:ind w:left="420"/>
              <w:spacing w:after="0"/>
              <w:rPr>
                <w:sz w:val="20"/>
                <w:szCs w:val="20"/>
                <w:color w:val="auto"/>
              </w:rPr>
            </w:pPr>
            <w:r>
              <w:rPr>
                <w:rFonts w:ascii="Arial" w:cs="Arial" w:eastAsia="Arial" w:hAnsi="Arial"/>
                <w:sz w:val="16"/>
                <w:szCs w:val="16"/>
                <w:color w:val="auto"/>
              </w:rPr>
              <w:t>Accelerated filer</w:t>
            </w:r>
          </w:p>
        </w:tc>
        <w:tc>
          <w:tcPr>
            <w:tcW w:w="1600" w:type="dxa"/>
            <w:vAlign w:val="bottom"/>
          </w:tcPr>
          <w:p>
            <w:pPr>
              <w:ind w:left="14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30"/>
        </w:trPr>
        <w:tc>
          <w:tcPr>
            <w:tcW w:w="3080" w:type="dxa"/>
            <w:vAlign w:val="bottom"/>
          </w:tcPr>
          <w:p>
            <w:pPr>
              <w:spacing w:after="0"/>
              <w:rPr>
                <w:sz w:val="20"/>
                <w:szCs w:val="20"/>
                <w:color w:val="auto"/>
              </w:rPr>
            </w:pPr>
            <w:r>
              <w:rPr>
                <w:rFonts w:ascii="Arial" w:cs="Arial" w:eastAsia="Arial" w:hAnsi="Arial"/>
                <w:sz w:val="16"/>
                <w:szCs w:val="16"/>
                <w:color w:val="auto"/>
              </w:rPr>
              <w:t>Non-accelerated filer</w:t>
            </w:r>
          </w:p>
        </w:tc>
        <w:tc>
          <w:tcPr>
            <w:tcW w:w="1860" w:type="dxa"/>
            <w:vAlign w:val="bottom"/>
          </w:tcPr>
          <w:p>
            <w:pPr>
              <w:ind w:left="1280"/>
              <w:spacing w:after="0" w:line="181" w:lineRule="exact"/>
              <w:rPr>
                <w:sz w:val="20"/>
                <w:szCs w:val="20"/>
                <w:color w:val="auto"/>
              </w:rPr>
            </w:pPr>
            <w:r>
              <w:rPr>
                <w:rFonts w:ascii="MS PGothic" w:cs="MS PGothic" w:eastAsia="MS PGothic" w:hAnsi="MS PGothic"/>
                <w:sz w:val="18"/>
                <w:szCs w:val="18"/>
                <w:color w:val="auto"/>
              </w:rPr>
              <w:t>☐</w:t>
            </w:r>
          </w:p>
        </w:tc>
        <w:tc>
          <w:tcPr>
            <w:tcW w:w="3620" w:type="dxa"/>
            <w:vAlign w:val="bottom"/>
          </w:tcPr>
          <w:p>
            <w:pPr>
              <w:ind w:left="420"/>
              <w:spacing w:after="0"/>
              <w:rPr>
                <w:sz w:val="20"/>
                <w:szCs w:val="20"/>
                <w:color w:val="auto"/>
              </w:rPr>
            </w:pPr>
            <w:r>
              <w:rPr>
                <w:rFonts w:ascii="Arial" w:cs="Arial" w:eastAsia="Arial" w:hAnsi="Arial"/>
                <w:sz w:val="16"/>
                <w:szCs w:val="16"/>
                <w:color w:val="auto"/>
              </w:rPr>
              <w:t>Smaller reporting company</w:t>
            </w:r>
          </w:p>
        </w:tc>
        <w:tc>
          <w:tcPr>
            <w:tcW w:w="1600" w:type="dxa"/>
            <w:vAlign w:val="bottom"/>
          </w:tcPr>
          <w:p>
            <w:pPr>
              <w:ind w:left="14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3080" w:type="dxa"/>
            <w:vAlign w:val="bottom"/>
          </w:tcPr>
          <w:p>
            <w:pPr>
              <w:spacing w:after="0"/>
              <w:rPr>
                <w:sz w:val="20"/>
                <w:szCs w:val="20"/>
                <w:color w:val="auto"/>
              </w:rPr>
            </w:pPr>
            <w:r>
              <w:rPr>
                <w:rFonts w:ascii="Arial" w:cs="Arial" w:eastAsia="Arial" w:hAnsi="Arial"/>
                <w:sz w:val="16"/>
                <w:szCs w:val="16"/>
                <w:color w:val="auto"/>
              </w:rPr>
              <w:t>Emerging growth company</w:t>
            </w:r>
          </w:p>
        </w:tc>
        <w:tc>
          <w:tcPr>
            <w:tcW w:w="1860" w:type="dxa"/>
            <w:vAlign w:val="bottom"/>
          </w:tcPr>
          <w:p>
            <w:pPr>
              <w:ind w:left="1280"/>
              <w:spacing w:after="0" w:line="181" w:lineRule="exact"/>
              <w:rPr>
                <w:sz w:val="20"/>
                <w:szCs w:val="20"/>
                <w:color w:val="auto"/>
              </w:rPr>
            </w:pPr>
            <w:r>
              <w:rPr>
                <w:rFonts w:ascii="MS PGothic" w:cs="MS PGothic" w:eastAsia="MS PGothic" w:hAnsi="MS PGothic"/>
                <w:sz w:val="18"/>
                <w:szCs w:val="18"/>
                <w:color w:val="auto"/>
              </w:rPr>
              <w:t>☐</w:t>
            </w:r>
          </w:p>
        </w:tc>
        <w:tc>
          <w:tcPr>
            <w:tcW w:w="3620" w:type="dxa"/>
            <w:vAlign w:val="bottom"/>
          </w:tcPr>
          <w:p>
            <w:pPr>
              <w:spacing w:after="0"/>
              <w:rPr>
                <w:sz w:val="24"/>
                <w:szCs w:val="24"/>
                <w:color w:val="auto"/>
              </w:rPr>
            </w:pPr>
          </w:p>
        </w:tc>
        <w:tc>
          <w:tcPr>
            <w:tcW w:w="1600" w:type="dxa"/>
            <w:vAlign w:val="bottom"/>
          </w:tcPr>
          <w:p>
            <w:pPr>
              <w:spacing w:after="0"/>
              <w:rPr>
                <w:sz w:val="24"/>
                <w:szCs w:val="24"/>
                <w:color w:val="auto"/>
              </w:rPr>
            </w:pPr>
          </w:p>
        </w:tc>
      </w:tr>
    </w:tbl>
    <w:p>
      <w:pPr>
        <w:spacing w:after="0" w:line="51" w:lineRule="exact"/>
        <w:rPr>
          <w:sz w:val="24"/>
          <w:szCs w:val="24"/>
          <w:color w:val="auto"/>
        </w:rPr>
      </w:pPr>
    </w:p>
    <w:p>
      <w:pPr>
        <w:spacing w:after="0" w:line="207"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1" w:lineRule="exact"/>
        <w:rPr>
          <w:sz w:val="24"/>
          <w:szCs w:val="24"/>
          <w:color w:val="auto"/>
        </w:rPr>
      </w:pPr>
    </w:p>
    <w:p>
      <w:pPr>
        <w:jc w:val="right"/>
        <w:ind w:right="2780"/>
        <w:spacing w:after="0" w:line="268"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r>
        <w:rPr>
          <w:rFonts w:ascii="Arial" w:cs="Arial" w:eastAsia="Arial" w:hAnsi="Arial"/>
          <w:sz w:val="16"/>
          <w:szCs w:val="16"/>
          <w:color w:val="auto"/>
        </w:rPr>
        <w:t xml:space="preserve"> At September 30, 2021, there were 309,726,894 shares of Common Stock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728980</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22225</wp:posOffset>
            </wp:positionH>
            <wp:positionV relativeFrom="paragraph">
              <wp:posOffset>227330</wp:posOffset>
            </wp:positionV>
            <wp:extent cx="709803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09803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type w:val="continuous"/>
        </w:sectPr>
      </w:pPr>
    </w:p>
    <w:bookmarkStart w:id="1" w:name="page2"/>
    <w:bookmarkEnd w:id="1"/>
    <w:p>
      <w:pPr>
        <w:jc w:val="center"/>
        <w:ind w:right="-19"/>
        <w:spacing w:after="0"/>
        <w:rPr>
          <w:sz w:val="20"/>
          <w:szCs w:val="20"/>
          <w:color w:val="auto"/>
        </w:rPr>
      </w:pPr>
      <w:r>
        <w:rPr>
          <w:rFonts w:ascii="Arial" w:cs="Arial" w:eastAsia="Arial" w:hAnsi="Arial"/>
          <w:sz w:val="18"/>
          <w:szCs w:val="18"/>
          <w:b w:val="1"/>
          <w:bCs w:val="1"/>
          <w:color w:val="auto"/>
        </w:rPr>
        <w:t>HESS CORPORATION</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TABLE OF CONTENTS</w:t>
      </w:r>
    </w:p>
    <w:p>
      <w:pPr>
        <w:sectPr>
          <w:pgSz w:w="11900" w:h="16838" w:orient="portrait"/>
          <w:cols w:equalWidth="0" w:num="1">
            <w:col w:w="11220"/>
          </w:cols>
          <w:pgMar w:left="320" w:top="891" w:right="359" w:bottom="1440" w:gutter="0" w:footer="0" w:header="0"/>
        </w:sectPr>
      </w:pPr>
    </w:p>
    <w:p>
      <w:pPr>
        <w:spacing w:after="0" w:line="349" w:lineRule="exact"/>
        <w:rPr>
          <w:sz w:val="20"/>
          <w:szCs w:val="20"/>
          <w:color w:val="auto"/>
        </w:rPr>
      </w:pPr>
    </w:p>
    <w:p>
      <w:pPr>
        <w:ind w:left="200"/>
        <w:spacing w:after="0"/>
        <w:rPr>
          <w:sz w:val="20"/>
          <w:szCs w:val="20"/>
          <w:color w:val="auto"/>
        </w:rPr>
      </w:pPr>
      <w:r>
        <w:rPr>
          <w:rFonts w:ascii="Arial" w:cs="Arial" w:eastAsia="Arial" w:hAnsi="Arial"/>
          <w:sz w:val="13"/>
          <w:szCs w:val="13"/>
          <w:b w:val="1"/>
          <w:bCs w:val="1"/>
          <w:color w:val="auto"/>
        </w:rPr>
        <w:t>Item</w:t>
      </w:r>
    </w:p>
    <w:p>
      <w:pPr>
        <w:spacing w:after="0" w:line="2" w:lineRule="exact"/>
        <w:rPr>
          <w:sz w:val="20"/>
          <w:szCs w:val="20"/>
          <w:color w:val="auto"/>
        </w:rPr>
      </w:pPr>
    </w:p>
    <w:p>
      <w:pPr>
        <w:ind w:left="240"/>
        <w:spacing w:after="0"/>
        <w:rPr>
          <w:sz w:val="20"/>
          <w:szCs w:val="20"/>
          <w:color w:val="auto"/>
        </w:rPr>
      </w:pPr>
      <w:r>
        <w:rPr>
          <w:rFonts w:ascii="Arial" w:cs="Arial" w:eastAsia="Arial" w:hAnsi="Arial"/>
          <w:sz w:val="14"/>
          <w:szCs w:val="14"/>
          <w:b w:val="1"/>
          <w:bCs w:val="1"/>
          <w:color w:val="auto"/>
        </w:rPr>
        <w:t>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13335</wp:posOffset>
            </wp:positionV>
            <wp:extent cx="4197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1973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19" w:lineRule="exact"/>
        <w:rPr>
          <w:sz w:val="20"/>
          <w:szCs w:val="20"/>
          <w:color w:val="auto"/>
        </w:rPr>
      </w:pPr>
    </w:p>
    <w:p>
      <w:pPr>
        <w:jc w:val="center"/>
        <w:ind w:right="220"/>
        <w:spacing w:after="0"/>
        <w:rPr>
          <w:sz w:val="20"/>
          <w:szCs w:val="20"/>
          <w:color w:val="auto"/>
        </w:rPr>
      </w:pPr>
      <w:r>
        <w:rPr>
          <w:rFonts w:ascii="Arial" w:cs="Arial" w:eastAsia="Arial" w:hAnsi="Arial"/>
          <w:sz w:val="14"/>
          <w:szCs w:val="14"/>
          <w:b w:val="1"/>
          <w:bCs w:val="1"/>
          <w:color w:val="auto"/>
        </w:rPr>
        <w:t>Page</w:t>
      </w:r>
    </w:p>
    <w:p>
      <w:pPr>
        <w:jc w:val="center"/>
        <w:ind w:right="220"/>
        <w:spacing w:after="0"/>
        <w:rPr>
          <w:sz w:val="20"/>
          <w:szCs w:val="20"/>
          <w:color w:val="auto"/>
        </w:rPr>
      </w:pPr>
      <w:r>
        <w:rPr>
          <w:rFonts w:ascii="Arial" w:cs="Arial" w:eastAsia="Arial" w:hAnsi="Arial"/>
          <w:sz w:val="13"/>
          <w:szCs w:val="13"/>
          <w:b w:val="1"/>
          <w:bCs w:val="1"/>
          <w:color w:val="auto"/>
        </w:rPr>
        <w:t>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-155575</wp:posOffset>
            </wp:positionH>
            <wp:positionV relativeFrom="paragraph">
              <wp:posOffset>20955</wp:posOffset>
            </wp:positionV>
            <wp:extent cx="6261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26110" cy="8255"/>
                    </a:xfrm>
                    <a:prstGeom prst="rect">
                      <a:avLst/>
                    </a:prstGeom>
                    <a:noFill/>
                  </pic:spPr>
                </pic:pic>
              </a:graphicData>
            </a:graphic>
          </wp:anchor>
        </w:drawing>
      </w:r>
    </w:p>
    <w:p>
      <w:pPr>
        <w:spacing w:after="0" w:line="41" w:lineRule="exact"/>
        <w:rPr>
          <w:sz w:val="20"/>
          <w:szCs w:val="20"/>
          <w:color w:val="auto"/>
        </w:rPr>
      </w:pPr>
    </w:p>
    <w:p>
      <w:pPr>
        <w:sectPr>
          <w:pgSz w:w="11900" w:h="16838" w:orient="portrait"/>
          <w:cols w:equalWidth="0" w:num="2">
            <w:col w:w="9780" w:space="720"/>
            <w:col w:w="720"/>
          </w:cols>
          <w:pgMar w:left="320" w:top="891" w:right="359" w:bottom="1440" w:gutter="0" w:footer="0" w:header="0"/>
          <w:type w:val="continuous"/>
        </w:sectPr>
      </w:pPr>
    </w:p>
    <w:p>
      <w:pPr>
        <w:jc w:val="center"/>
        <w:ind w:right="300"/>
        <w:spacing w:after="0"/>
        <w:rPr>
          <w:rFonts w:ascii="Arial" w:cs="Arial" w:eastAsia="Arial" w:hAnsi="Arial"/>
          <w:sz w:val="18"/>
          <w:szCs w:val="18"/>
          <w:b w:val="1"/>
          <w:bCs w:val="1"/>
          <w:u w:val="single" w:color="auto"/>
          <w:color w:val="0000FF"/>
        </w:rPr>
      </w:pPr>
      <w:hyperlink w:anchor="page2">
        <w:r>
          <w:rPr>
            <w:rFonts w:ascii="Arial" w:cs="Arial" w:eastAsia="Arial" w:hAnsi="Arial"/>
            <w:sz w:val="18"/>
            <w:szCs w:val="18"/>
            <w:b w:val="1"/>
            <w:bCs w:val="1"/>
            <w:u w:val="single" w:color="auto"/>
            <w:color w:val="0000FF"/>
          </w:rPr>
          <w:t>PART I - FINANCIAL INFORMATION</w:t>
        </w:r>
      </w:hyperlink>
    </w:p>
    <w:p>
      <w:pPr>
        <w:spacing w:after="0" w:line="27" w:lineRule="exact"/>
        <w:rPr>
          <w:sz w:val="20"/>
          <w:szCs w:val="20"/>
          <w:color w:val="auto"/>
        </w:rPr>
      </w:pPr>
    </w:p>
    <w:p>
      <w:pPr>
        <w:ind w:left="680" w:hanging="409"/>
        <w:spacing w:after="0"/>
        <w:tabs>
          <w:tab w:leader="none" w:pos="680" w:val="left"/>
        </w:tabs>
        <w:numPr>
          <w:ilvl w:val="0"/>
          <w:numId w:val="3"/>
        </w:numPr>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Financial Statements (Unaudited)</w:t>
        </w:r>
      </w:hyperlink>
    </w:p>
    <w:p>
      <w:pPr>
        <w:spacing w:after="0" w:line="5" w:lineRule="exact"/>
        <w:rPr>
          <w:sz w:val="20"/>
          <w:szCs w:val="20"/>
          <w:color w:val="auto"/>
        </w:rPr>
      </w:pPr>
    </w:p>
    <w:tbl>
      <w:tblPr>
        <w:tblLayout w:type="fixed"/>
        <w:tblInd w:w="280" w:type="dxa"/>
        <w:tblCellMar>
          <w:top w:w="0" w:type="dxa"/>
          <w:left w:w="0" w:type="dxa"/>
          <w:bottom w:w="0" w:type="dxa"/>
          <w:right w:w="0" w:type="dxa"/>
        </w:tblCellMar>
      </w:tblPr>
      <w:tr>
        <w:trPr>
          <w:trHeight w:val="207"/>
        </w:trPr>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40" w:type="dxa"/>
            <w:vAlign w:val="bottom"/>
            <w:gridSpan w:val="28"/>
          </w:tcPr>
          <w:p>
            <w:pPr>
              <w:ind w:left="20"/>
              <w:spacing w:after="0"/>
              <w:rPr>
                <w:rFonts w:ascii="Arial" w:cs="Arial" w:eastAsia="Arial" w:hAnsi="Arial"/>
                <w:sz w:val="18"/>
                <w:szCs w:val="18"/>
                <w:color w:val="0000FF"/>
              </w:rPr>
            </w:pPr>
            <w:hyperlink w:anchor="page3">
              <w:r>
                <w:rPr>
                  <w:rFonts w:ascii="Arial" w:cs="Arial" w:eastAsia="Arial" w:hAnsi="Arial"/>
                  <w:sz w:val="18"/>
                  <w:szCs w:val="18"/>
                  <w:color w:val="0000FF"/>
                </w:rPr>
                <w:t>Consolidated Balance Sheet at September 30, 2021, and December 31, 2020</w:t>
              </w:r>
            </w:hyperlink>
          </w:p>
        </w:tc>
        <w:tc>
          <w:tcPr>
            <w:tcW w:w="900" w:type="dxa"/>
            <w:vAlign w:val="bottom"/>
          </w:tcPr>
          <w:p>
            <w:pPr>
              <w:jc w:val="right"/>
              <w:spacing w:after="0"/>
              <w:rPr>
                <w:rFonts w:ascii="Arial" w:cs="Arial" w:eastAsia="Arial" w:hAnsi="Arial"/>
                <w:sz w:val="18"/>
                <w:szCs w:val="18"/>
                <w:color w:val="auto"/>
              </w:rPr>
            </w:pPr>
            <w:hyperlink w:anchor="page3">
              <w:r>
                <w:rPr>
                  <w:rFonts w:ascii="Arial" w:cs="Arial" w:eastAsia="Arial" w:hAnsi="Arial"/>
                  <w:sz w:val="18"/>
                  <w:szCs w:val="18"/>
                  <w:color w:val="auto"/>
                </w:rPr>
                <w:t>2</w:t>
              </w:r>
            </w:hyperlink>
          </w:p>
        </w:tc>
      </w:tr>
      <w:tr>
        <w:trPr>
          <w:trHeight w:val="20"/>
        </w:trPr>
        <w:tc>
          <w:tcPr>
            <w:tcW w:w="4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380" w:type="dxa"/>
            <w:vAlign w:val="bottom"/>
            <w:shd w:val="clear" w:color="auto" w:fill="0000FF"/>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r>
        <w:trPr>
          <w:trHeight w:val="209"/>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40" w:type="dxa"/>
            <w:vAlign w:val="bottom"/>
            <w:gridSpan w:val="28"/>
          </w:tcPr>
          <w:p>
            <w:pPr>
              <w:ind w:left="20"/>
              <w:spacing w:after="0"/>
              <w:rPr>
                <w:rFonts w:ascii="Arial" w:cs="Arial" w:eastAsia="Arial" w:hAnsi="Arial"/>
                <w:sz w:val="18"/>
                <w:szCs w:val="18"/>
                <w:color w:val="0000FF"/>
              </w:rPr>
            </w:pPr>
            <w:hyperlink w:anchor="page3">
              <w:r>
                <w:rPr>
                  <w:rFonts w:ascii="Arial" w:cs="Arial" w:eastAsia="Arial" w:hAnsi="Arial"/>
                  <w:sz w:val="18"/>
                  <w:szCs w:val="18"/>
                  <w:color w:val="0000FF"/>
                </w:rPr>
                <w:t>Statement of Consolidated Income for the Three and Nine Months Ended September 30, 2021, and 2020</w:t>
              </w:r>
            </w:hyperlink>
          </w:p>
        </w:tc>
        <w:tc>
          <w:tcPr>
            <w:tcW w:w="900" w:type="dxa"/>
            <w:vAlign w:val="bottom"/>
          </w:tcPr>
          <w:p>
            <w:pPr>
              <w:jc w:val="right"/>
              <w:spacing w:after="0"/>
              <w:rPr>
                <w:rFonts w:ascii="Arial" w:cs="Arial" w:eastAsia="Arial" w:hAnsi="Arial"/>
                <w:sz w:val="18"/>
                <w:szCs w:val="18"/>
                <w:color w:val="auto"/>
              </w:rPr>
            </w:pPr>
            <w:hyperlink w:anchor="page3">
              <w:r>
                <w:rPr>
                  <w:rFonts w:ascii="Arial" w:cs="Arial" w:eastAsia="Arial" w:hAnsi="Arial"/>
                  <w:sz w:val="18"/>
                  <w:szCs w:val="18"/>
                  <w:color w:val="auto"/>
                </w:rPr>
                <w:t>3</w:t>
              </w:r>
            </w:hyperlink>
          </w:p>
        </w:tc>
      </w:tr>
      <w:tr>
        <w:trPr>
          <w:trHeight w:val="20"/>
        </w:trPr>
        <w:tc>
          <w:tcPr>
            <w:tcW w:w="4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880" w:type="dxa"/>
            <w:vAlign w:val="bottom"/>
            <w:gridSpan w:val="2"/>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240" w:type="dxa"/>
            <w:vAlign w:val="bottom"/>
            <w:tcBorders>
              <w:left w:val="single" w:sz="8" w:color="0000FF"/>
            </w:tcBorders>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r>
        <w:trPr>
          <w:trHeight w:val="210"/>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40" w:type="dxa"/>
            <w:vAlign w:val="bottom"/>
            <w:gridSpan w:val="28"/>
          </w:tcPr>
          <w:p>
            <w:pPr>
              <w:ind w:left="20"/>
              <w:spacing w:after="0"/>
              <w:rPr>
                <w:rFonts w:ascii="Arial" w:cs="Arial" w:eastAsia="Arial" w:hAnsi="Arial"/>
                <w:sz w:val="18"/>
                <w:szCs w:val="18"/>
                <w:color w:val="0000FF"/>
                <w:w w:val="97"/>
              </w:rPr>
            </w:pPr>
            <w:hyperlink w:anchor="page4">
              <w:r>
                <w:rPr>
                  <w:rFonts w:ascii="Arial" w:cs="Arial" w:eastAsia="Arial" w:hAnsi="Arial"/>
                  <w:sz w:val="18"/>
                  <w:szCs w:val="18"/>
                  <w:color w:val="0000FF"/>
                  <w:w w:val="97"/>
                </w:rPr>
                <w:t>Statement of Consolidated Comprehensive Income for the Three and Nine Months Ended September 30, 2021, and 2020</w:t>
              </w:r>
            </w:hyperlink>
          </w:p>
        </w:tc>
        <w:tc>
          <w:tcPr>
            <w:tcW w:w="900" w:type="dxa"/>
            <w:vAlign w:val="bottom"/>
          </w:tcPr>
          <w:p>
            <w:pPr>
              <w:jc w:val="right"/>
              <w:spacing w:after="0"/>
              <w:rPr>
                <w:rFonts w:ascii="Arial" w:cs="Arial" w:eastAsia="Arial" w:hAnsi="Arial"/>
                <w:sz w:val="18"/>
                <w:szCs w:val="18"/>
                <w:color w:val="auto"/>
              </w:rPr>
            </w:pPr>
            <w:hyperlink w:anchor="page4">
              <w:r>
                <w:rPr>
                  <w:rFonts w:ascii="Arial" w:cs="Arial" w:eastAsia="Arial" w:hAnsi="Arial"/>
                  <w:sz w:val="18"/>
                  <w:szCs w:val="18"/>
                  <w:color w:val="auto"/>
                </w:rPr>
                <w:t>4</w:t>
              </w:r>
            </w:hyperlink>
          </w:p>
        </w:tc>
      </w:tr>
      <w:tr>
        <w:trPr>
          <w:trHeight w:val="210"/>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700" w:type="dxa"/>
            <w:vAlign w:val="bottom"/>
            <w:tcBorders>
              <w:top w:val="single" w:sz="8" w:color="0000FF"/>
            </w:tcBorders>
            <w:gridSpan w:val="27"/>
          </w:tcPr>
          <w:p>
            <w:pPr>
              <w:ind w:left="20"/>
              <w:spacing w:after="0"/>
              <w:rPr>
                <w:rFonts w:ascii="Arial" w:cs="Arial" w:eastAsia="Arial" w:hAnsi="Arial"/>
                <w:sz w:val="18"/>
                <w:szCs w:val="18"/>
                <w:color w:val="0000FF"/>
              </w:rPr>
            </w:pPr>
            <w:hyperlink w:anchor="page5">
              <w:r>
                <w:rPr>
                  <w:rFonts w:ascii="Arial" w:cs="Arial" w:eastAsia="Arial" w:hAnsi="Arial"/>
                  <w:sz w:val="18"/>
                  <w:szCs w:val="18"/>
                  <w:color w:val="0000FF"/>
                </w:rPr>
                <w:t>Statement of Consolidated Cash Flows for the Nine Months Ended September 30, 2021, and 2020</w:t>
              </w:r>
            </w:hyperlink>
          </w:p>
        </w:tc>
        <w:tc>
          <w:tcPr>
            <w:tcW w:w="740" w:type="dxa"/>
            <w:vAlign w:val="bottom"/>
          </w:tcPr>
          <w:p>
            <w:pPr>
              <w:spacing w:after="0"/>
              <w:rPr>
                <w:sz w:val="18"/>
                <w:szCs w:val="18"/>
                <w:color w:val="auto"/>
              </w:rPr>
            </w:pPr>
          </w:p>
        </w:tc>
        <w:tc>
          <w:tcPr>
            <w:tcW w:w="900" w:type="dxa"/>
            <w:vAlign w:val="bottom"/>
          </w:tcPr>
          <w:p>
            <w:pPr>
              <w:jc w:val="right"/>
              <w:spacing w:after="0"/>
              <w:rPr>
                <w:rFonts w:ascii="Arial" w:cs="Arial" w:eastAsia="Arial" w:hAnsi="Arial"/>
                <w:sz w:val="18"/>
                <w:szCs w:val="18"/>
                <w:color w:val="auto"/>
              </w:rPr>
            </w:pPr>
            <w:hyperlink w:anchor="page5">
              <w:r>
                <w:rPr>
                  <w:rFonts w:ascii="Arial" w:cs="Arial" w:eastAsia="Arial" w:hAnsi="Arial"/>
                  <w:sz w:val="18"/>
                  <w:szCs w:val="18"/>
                  <w:color w:val="auto"/>
                </w:rPr>
                <w:t>5</w:t>
              </w:r>
            </w:hyperlink>
          </w:p>
        </w:tc>
      </w:tr>
      <w:tr>
        <w:trPr>
          <w:trHeight w:val="20"/>
        </w:trPr>
        <w:tc>
          <w:tcPr>
            <w:tcW w:w="4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880" w:type="dxa"/>
            <w:vAlign w:val="bottom"/>
            <w:gridSpan w:val="2"/>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98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r>
        <w:trPr>
          <w:trHeight w:val="209"/>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40" w:type="dxa"/>
            <w:vAlign w:val="bottom"/>
            <w:gridSpan w:val="28"/>
          </w:tcPr>
          <w:p>
            <w:pPr>
              <w:ind w:left="20"/>
              <w:spacing w:after="0"/>
              <w:rPr>
                <w:rFonts w:ascii="Arial" w:cs="Arial" w:eastAsia="Arial" w:hAnsi="Arial"/>
                <w:sz w:val="18"/>
                <w:szCs w:val="18"/>
                <w:color w:val="0000FF"/>
              </w:rPr>
            </w:pPr>
            <w:hyperlink w:anchor="page6">
              <w:r>
                <w:rPr>
                  <w:rFonts w:ascii="Arial" w:cs="Arial" w:eastAsia="Arial" w:hAnsi="Arial"/>
                  <w:sz w:val="18"/>
                  <w:szCs w:val="18"/>
                  <w:color w:val="0000FF"/>
                </w:rPr>
                <w:t>Statement of Consolidated Equity for the Three and Nine Months Ended September 30, 2021, and 2020</w:t>
              </w:r>
            </w:hyperlink>
          </w:p>
        </w:tc>
        <w:tc>
          <w:tcPr>
            <w:tcW w:w="900" w:type="dxa"/>
            <w:vAlign w:val="bottom"/>
          </w:tcPr>
          <w:p>
            <w:pPr>
              <w:jc w:val="right"/>
              <w:spacing w:after="0"/>
              <w:rPr>
                <w:rFonts w:ascii="Arial" w:cs="Arial" w:eastAsia="Arial" w:hAnsi="Arial"/>
                <w:sz w:val="18"/>
                <w:szCs w:val="18"/>
                <w:color w:val="auto"/>
              </w:rPr>
            </w:pPr>
            <w:hyperlink w:anchor="page6">
              <w:r>
                <w:rPr>
                  <w:rFonts w:ascii="Arial" w:cs="Arial" w:eastAsia="Arial" w:hAnsi="Arial"/>
                  <w:sz w:val="18"/>
                  <w:szCs w:val="18"/>
                  <w:color w:val="auto"/>
                </w:rPr>
                <w:t>6</w:t>
              </w:r>
            </w:hyperlink>
          </w:p>
        </w:tc>
      </w:tr>
      <w:tr>
        <w:trPr>
          <w:trHeight w:val="20"/>
        </w:trPr>
        <w:tc>
          <w:tcPr>
            <w:tcW w:w="4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880" w:type="dxa"/>
            <w:vAlign w:val="bottom"/>
            <w:gridSpan w:val="2"/>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200" w:type="dxa"/>
            <w:vAlign w:val="bottom"/>
            <w:gridSpan w:val="2"/>
            <w:shd w:val="clear" w:color="auto" w:fill="0000FF"/>
          </w:tcPr>
          <w:p>
            <w:pPr>
              <w:spacing w:after="0" w:line="20" w:lineRule="exact"/>
              <w:rPr>
                <w:sz w:val="1"/>
                <w:szCs w:val="1"/>
                <w:color w:val="auto"/>
              </w:rPr>
            </w:pPr>
          </w:p>
        </w:tc>
        <w:tc>
          <w:tcPr>
            <w:tcW w:w="198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r>
        <w:trPr>
          <w:trHeight w:val="209"/>
        </w:trPr>
        <w:tc>
          <w:tcPr>
            <w:tcW w:w="400" w:type="dxa"/>
            <w:vAlign w:val="bottom"/>
          </w:tcPr>
          <w:p>
            <w:pPr>
              <w:spacing w:after="0"/>
              <w:rPr>
                <w:sz w:val="18"/>
                <w:szCs w:val="18"/>
                <w:color w:val="auto"/>
              </w:rPr>
            </w:pPr>
          </w:p>
        </w:tc>
        <w:tc>
          <w:tcPr>
            <w:tcW w:w="9640" w:type="dxa"/>
            <w:vAlign w:val="bottom"/>
            <w:gridSpan w:val="29"/>
          </w:tcPr>
          <w:p>
            <w:pPr>
              <w:spacing w:after="0"/>
              <w:rPr>
                <w:rFonts w:ascii="Arial" w:cs="Arial" w:eastAsia="Arial" w:hAnsi="Arial"/>
                <w:sz w:val="18"/>
                <w:szCs w:val="18"/>
                <w:color w:val="0000FF"/>
              </w:rPr>
            </w:pPr>
            <w:hyperlink w:anchor="page7">
              <w:r>
                <w:rPr>
                  <w:rFonts w:ascii="Arial" w:cs="Arial" w:eastAsia="Arial" w:hAnsi="Arial"/>
                  <w:sz w:val="18"/>
                  <w:szCs w:val="18"/>
                  <w:color w:val="0000FF"/>
                </w:rPr>
                <w:t>Notes to Consolidated Financial Statements (Unaudited)</w:t>
              </w:r>
            </w:hyperlink>
          </w:p>
        </w:tc>
        <w:tc>
          <w:tcPr>
            <w:tcW w:w="900" w:type="dxa"/>
            <w:vAlign w:val="bottom"/>
          </w:tcPr>
          <w:p>
            <w:pPr>
              <w:jc w:val="right"/>
              <w:spacing w:after="0"/>
              <w:rPr>
                <w:rFonts w:ascii="Arial" w:cs="Arial" w:eastAsia="Arial" w:hAnsi="Arial"/>
                <w:sz w:val="18"/>
                <w:szCs w:val="18"/>
                <w:color w:val="auto"/>
              </w:rPr>
            </w:pPr>
            <w:hyperlink w:anchor="page7">
              <w:r>
                <w:rPr>
                  <w:rFonts w:ascii="Arial" w:cs="Arial" w:eastAsia="Arial" w:hAnsi="Arial"/>
                  <w:sz w:val="18"/>
                  <w:szCs w:val="18"/>
                  <w:color w:val="auto"/>
                </w:rPr>
                <w:t>7</w:t>
              </w:r>
            </w:hyperlink>
          </w:p>
        </w:tc>
      </w:tr>
      <w:tr>
        <w:trPr>
          <w:trHeight w:val="210"/>
        </w:trPr>
        <w:tc>
          <w:tcPr>
            <w:tcW w:w="400" w:type="dxa"/>
            <w:vAlign w:val="bottom"/>
          </w:tcPr>
          <w:p>
            <w:pPr>
              <w:spacing w:after="0"/>
              <w:rPr>
                <w:sz w:val="18"/>
                <w:szCs w:val="18"/>
                <w:color w:val="auto"/>
              </w:rPr>
            </w:pPr>
          </w:p>
        </w:tc>
        <w:tc>
          <w:tcPr>
            <w:tcW w:w="200" w:type="dxa"/>
            <w:vAlign w:val="bottom"/>
            <w:tcBorders>
              <w:top w:val="single" w:sz="8" w:color="0000FF"/>
            </w:tcBorders>
          </w:tcPr>
          <w:p>
            <w:pPr>
              <w:spacing w:after="0"/>
              <w:rPr>
                <w:sz w:val="18"/>
                <w:szCs w:val="18"/>
                <w:color w:val="auto"/>
              </w:rPr>
            </w:pPr>
          </w:p>
        </w:tc>
        <w:tc>
          <w:tcPr>
            <w:tcW w:w="3860" w:type="dxa"/>
            <w:vAlign w:val="bottom"/>
            <w:tcBorders>
              <w:top w:val="single" w:sz="8" w:color="0000FF"/>
            </w:tcBorders>
            <w:gridSpan w:val="20"/>
          </w:tcPr>
          <w:p>
            <w:pPr>
              <w:ind w:left="20"/>
              <w:spacing w:after="0"/>
              <w:rPr>
                <w:rFonts w:ascii="Arial" w:cs="Arial" w:eastAsia="Arial" w:hAnsi="Arial"/>
                <w:sz w:val="18"/>
                <w:szCs w:val="18"/>
                <w:color w:val="0000FF"/>
              </w:rPr>
            </w:pPr>
            <w:hyperlink w:anchor="page7">
              <w:r>
                <w:rPr>
                  <w:rFonts w:ascii="Arial" w:cs="Arial" w:eastAsia="Arial" w:hAnsi="Arial"/>
                  <w:sz w:val="18"/>
                  <w:szCs w:val="18"/>
                  <w:color w:val="0000FF"/>
                </w:rPr>
                <w:t>Note 1 - Basis of Presentation</w:t>
              </w:r>
            </w:hyperlink>
          </w:p>
        </w:tc>
        <w:tc>
          <w:tcPr>
            <w:tcW w:w="5580" w:type="dxa"/>
            <w:vAlign w:val="bottom"/>
            <w:gridSpan w:val="8"/>
          </w:tcPr>
          <w:p>
            <w:pPr>
              <w:spacing w:after="0"/>
              <w:rPr>
                <w:sz w:val="18"/>
                <w:szCs w:val="18"/>
                <w:color w:val="auto"/>
              </w:rPr>
            </w:pPr>
          </w:p>
        </w:tc>
        <w:tc>
          <w:tcPr>
            <w:tcW w:w="900" w:type="dxa"/>
            <w:vAlign w:val="bottom"/>
          </w:tcPr>
          <w:p>
            <w:pPr>
              <w:jc w:val="right"/>
              <w:spacing w:after="0"/>
              <w:rPr>
                <w:rFonts w:ascii="Arial" w:cs="Arial" w:eastAsia="Arial" w:hAnsi="Arial"/>
                <w:sz w:val="18"/>
                <w:szCs w:val="18"/>
                <w:color w:val="auto"/>
              </w:rPr>
            </w:pPr>
            <w:hyperlink w:anchor="page7">
              <w:r>
                <w:rPr>
                  <w:rFonts w:ascii="Arial" w:cs="Arial" w:eastAsia="Arial" w:hAnsi="Arial"/>
                  <w:sz w:val="18"/>
                  <w:szCs w:val="18"/>
                  <w:color w:val="auto"/>
                </w:rPr>
                <w:t>7</w:t>
              </w:r>
            </w:hyperlink>
          </w:p>
        </w:tc>
      </w:tr>
      <w:tr>
        <w:trPr>
          <w:trHeight w:val="209"/>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Borders>
              <w:top w:val="single" w:sz="8" w:color="0000FF"/>
              <w:bottom w:val="single" w:sz="8" w:color="0000FF"/>
            </w:tcBorders>
            <w:gridSpan w:val="6"/>
          </w:tcPr>
          <w:p>
            <w:pPr>
              <w:ind w:left="20"/>
              <w:spacing w:after="0"/>
              <w:rPr>
                <w:rFonts w:ascii="Arial" w:cs="Arial" w:eastAsia="Arial" w:hAnsi="Arial"/>
                <w:sz w:val="18"/>
                <w:szCs w:val="18"/>
                <w:color w:val="0000FF"/>
                <w:w w:val="90"/>
              </w:rPr>
            </w:pPr>
            <w:hyperlink w:anchor="page8">
              <w:r>
                <w:rPr>
                  <w:rFonts w:ascii="Arial" w:cs="Arial" w:eastAsia="Arial" w:hAnsi="Arial"/>
                  <w:sz w:val="18"/>
                  <w:szCs w:val="18"/>
                  <w:color w:val="0000FF"/>
                  <w:w w:val="90"/>
                </w:rPr>
                <w:t>Note 2 - Inventories</w:t>
              </w:r>
            </w:hyperlink>
          </w:p>
        </w:tc>
        <w:tc>
          <w:tcPr>
            <w:tcW w:w="700" w:type="dxa"/>
            <w:vAlign w:val="bottom"/>
            <w:tcBorders>
              <w:top w:val="single" w:sz="8" w:color="0000FF"/>
            </w:tcBorders>
            <w:gridSpan w:val="6"/>
          </w:tcPr>
          <w:p>
            <w:pPr>
              <w:spacing w:after="0"/>
              <w:rPr>
                <w:sz w:val="18"/>
                <w:szCs w:val="18"/>
                <w:color w:val="auto"/>
              </w:rPr>
            </w:pPr>
          </w:p>
        </w:tc>
        <w:tc>
          <w:tcPr>
            <w:tcW w:w="7280" w:type="dxa"/>
            <w:vAlign w:val="bottom"/>
            <w:gridSpan w:val="16"/>
          </w:tcPr>
          <w:p>
            <w:pPr>
              <w:spacing w:after="0"/>
              <w:rPr>
                <w:sz w:val="18"/>
                <w:szCs w:val="18"/>
                <w:color w:val="auto"/>
              </w:rPr>
            </w:pPr>
          </w:p>
        </w:tc>
        <w:tc>
          <w:tcPr>
            <w:tcW w:w="900" w:type="dxa"/>
            <w:vAlign w:val="bottom"/>
          </w:tcPr>
          <w:p>
            <w:pPr>
              <w:jc w:val="right"/>
              <w:spacing w:after="0"/>
              <w:rPr>
                <w:rFonts w:ascii="Arial" w:cs="Arial" w:eastAsia="Arial" w:hAnsi="Arial"/>
                <w:sz w:val="18"/>
                <w:szCs w:val="18"/>
                <w:color w:val="auto"/>
              </w:rPr>
            </w:pPr>
            <w:hyperlink w:anchor="page8">
              <w:r>
                <w:rPr>
                  <w:rFonts w:ascii="Arial" w:cs="Arial" w:eastAsia="Arial" w:hAnsi="Arial"/>
                  <w:sz w:val="18"/>
                  <w:szCs w:val="18"/>
                  <w:color w:val="auto"/>
                </w:rPr>
                <w:t>7</w:t>
              </w:r>
            </w:hyperlink>
          </w:p>
        </w:tc>
      </w:tr>
      <w:tr>
        <w:trPr>
          <w:trHeight w:val="210"/>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860" w:type="dxa"/>
            <w:vAlign w:val="bottom"/>
            <w:tcBorders>
              <w:bottom w:val="single" w:sz="8" w:color="0000FF"/>
            </w:tcBorders>
            <w:gridSpan w:val="15"/>
          </w:tcPr>
          <w:p>
            <w:pPr>
              <w:ind w:left="20"/>
              <w:spacing w:after="0"/>
              <w:rPr>
                <w:rFonts w:ascii="Arial" w:cs="Arial" w:eastAsia="Arial" w:hAnsi="Arial"/>
                <w:sz w:val="18"/>
                <w:szCs w:val="18"/>
                <w:color w:val="0000FF"/>
                <w:w w:val="89"/>
              </w:rPr>
            </w:pPr>
            <w:hyperlink w:anchor="page8">
              <w:r>
                <w:rPr>
                  <w:rFonts w:ascii="Arial" w:cs="Arial" w:eastAsia="Arial" w:hAnsi="Arial"/>
                  <w:sz w:val="18"/>
                  <w:szCs w:val="18"/>
                  <w:color w:val="0000FF"/>
                  <w:w w:val="89"/>
                </w:rPr>
                <w:t>Note 3 - Property, Plant and Equipment</w:t>
              </w:r>
            </w:hyperlink>
          </w:p>
        </w:tc>
        <w:tc>
          <w:tcPr>
            <w:tcW w:w="6580" w:type="dxa"/>
            <w:vAlign w:val="bottom"/>
            <w:gridSpan w:val="13"/>
          </w:tcPr>
          <w:p>
            <w:pPr>
              <w:spacing w:after="0"/>
              <w:rPr>
                <w:sz w:val="18"/>
                <w:szCs w:val="18"/>
                <w:color w:val="auto"/>
              </w:rPr>
            </w:pPr>
          </w:p>
        </w:tc>
        <w:tc>
          <w:tcPr>
            <w:tcW w:w="900" w:type="dxa"/>
            <w:vAlign w:val="bottom"/>
          </w:tcPr>
          <w:p>
            <w:pPr>
              <w:jc w:val="right"/>
              <w:spacing w:after="0"/>
              <w:rPr>
                <w:rFonts w:ascii="Arial" w:cs="Arial" w:eastAsia="Arial" w:hAnsi="Arial"/>
                <w:sz w:val="18"/>
                <w:szCs w:val="18"/>
                <w:color w:val="auto"/>
              </w:rPr>
            </w:pPr>
            <w:hyperlink w:anchor="page8">
              <w:r>
                <w:rPr>
                  <w:rFonts w:ascii="Arial" w:cs="Arial" w:eastAsia="Arial" w:hAnsi="Arial"/>
                  <w:sz w:val="18"/>
                  <w:szCs w:val="18"/>
                  <w:color w:val="auto"/>
                </w:rPr>
                <w:t>7</w:t>
              </w:r>
            </w:hyperlink>
          </w:p>
        </w:tc>
      </w:tr>
      <w:tr>
        <w:trPr>
          <w:trHeight w:val="209"/>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80" w:type="dxa"/>
            <w:vAlign w:val="bottom"/>
            <w:tcBorders>
              <w:bottom w:val="single" w:sz="8" w:color="0000FF"/>
            </w:tcBorders>
            <w:gridSpan w:val="10"/>
          </w:tcPr>
          <w:p>
            <w:pPr>
              <w:ind w:left="20"/>
              <w:spacing w:after="0"/>
              <w:rPr>
                <w:rFonts w:ascii="Arial" w:cs="Arial" w:eastAsia="Arial" w:hAnsi="Arial"/>
                <w:sz w:val="18"/>
                <w:szCs w:val="18"/>
                <w:color w:val="0000FF"/>
                <w:w w:val="90"/>
              </w:rPr>
            </w:pPr>
            <w:hyperlink w:anchor="page9">
              <w:r>
                <w:rPr>
                  <w:rFonts w:ascii="Arial" w:cs="Arial" w:eastAsia="Arial" w:hAnsi="Arial"/>
                  <w:sz w:val="18"/>
                  <w:szCs w:val="18"/>
                  <w:color w:val="0000FF"/>
                  <w:w w:val="90"/>
                </w:rPr>
                <w:t>Note 4 - Hess Midstream LP</w:t>
              </w:r>
            </w:hyperlink>
          </w:p>
        </w:tc>
        <w:tc>
          <w:tcPr>
            <w:tcW w:w="7360" w:type="dxa"/>
            <w:vAlign w:val="bottom"/>
            <w:gridSpan w:val="18"/>
          </w:tcPr>
          <w:p>
            <w:pPr>
              <w:spacing w:after="0"/>
              <w:rPr>
                <w:sz w:val="18"/>
                <w:szCs w:val="18"/>
                <w:color w:val="auto"/>
              </w:rPr>
            </w:pPr>
          </w:p>
        </w:tc>
        <w:tc>
          <w:tcPr>
            <w:tcW w:w="900" w:type="dxa"/>
            <w:vAlign w:val="bottom"/>
          </w:tcPr>
          <w:p>
            <w:pPr>
              <w:jc w:val="right"/>
              <w:spacing w:after="0"/>
              <w:rPr>
                <w:rFonts w:ascii="Arial" w:cs="Arial" w:eastAsia="Arial" w:hAnsi="Arial"/>
                <w:sz w:val="18"/>
                <w:szCs w:val="18"/>
                <w:color w:val="auto"/>
              </w:rPr>
            </w:pPr>
            <w:hyperlink w:anchor="page9">
              <w:r>
                <w:rPr>
                  <w:rFonts w:ascii="Arial" w:cs="Arial" w:eastAsia="Arial" w:hAnsi="Arial"/>
                  <w:sz w:val="18"/>
                  <w:szCs w:val="18"/>
                  <w:color w:val="auto"/>
                </w:rPr>
                <w:t>8</w:t>
              </w:r>
            </w:hyperlink>
          </w:p>
        </w:tc>
      </w:tr>
      <w:tr>
        <w:trPr>
          <w:trHeight w:val="210"/>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40" w:type="dxa"/>
            <w:vAlign w:val="bottom"/>
            <w:gridSpan w:val="28"/>
          </w:tcPr>
          <w:p>
            <w:pPr>
              <w:ind w:left="20"/>
              <w:spacing w:after="0"/>
              <w:rPr>
                <w:rFonts w:ascii="Arial" w:cs="Arial" w:eastAsia="Arial" w:hAnsi="Arial"/>
                <w:sz w:val="18"/>
                <w:szCs w:val="18"/>
                <w:color w:val="0000FF"/>
              </w:rPr>
            </w:pPr>
            <w:hyperlink w:anchor="page9">
              <w:r>
                <w:rPr>
                  <w:rFonts w:ascii="Arial" w:cs="Arial" w:eastAsia="Arial" w:hAnsi="Arial"/>
                  <w:sz w:val="18"/>
                  <w:szCs w:val="18"/>
                  <w:color w:val="0000FF"/>
                </w:rPr>
                <w:t>Note 5 - Accrued Liabilities</w:t>
              </w:r>
            </w:hyperlink>
          </w:p>
        </w:tc>
        <w:tc>
          <w:tcPr>
            <w:tcW w:w="900" w:type="dxa"/>
            <w:vAlign w:val="bottom"/>
          </w:tcPr>
          <w:p>
            <w:pPr>
              <w:jc w:val="right"/>
              <w:spacing w:after="0"/>
              <w:rPr>
                <w:rFonts w:ascii="Arial" w:cs="Arial" w:eastAsia="Arial" w:hAnsi="Arial"/>
                <w:sz w:val="18"/>
                <w:szCs w:val="18"/>
                <w:color w:val="auto"/>
              </w:rPr>
            </w:pPr>
            <w:hyperlink w:anchor="page9">
              <w:r>
                <w:rPr>
                  <w:rFonts w:ascii="Arial" w:cs="Arial" w:eastAsia="Arial" w:hAnsi="Arial"/>
                  <w:sz w:val="18"/>
                  <w:szCs w:val="18"/>
                  <w:color w:val="auto"/>
                </w:rPr>
                <w:t>8</w:t>
              </w:r>
            </w:hyperlink>
          </w:p>
        </w:tc>
      </w:tr>
      <w:tr>
        <w:trPr>
          <w:trHeight w:val="209"/>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tcBorders>
              <w:top w:val="single" w:sz="8" w:color="0000FF"/>
              <w:bottom w:val="single" w:sz="8" w:color="0000FF"/>
            </w:tcBorders>
            <w:gridSpan w:val="3"/>
          </w:tcPr>
          <w:p>
            <w:pPr>
              <w:ind w:left="20"/>
              <w:spacing w:after="0"/>
              <w:rPr>
                <w:rFonts w:ascii="Arial" w:cs="Arial" w:eastAsia="Arial" w:hAnsi="Arial"/>
                <w:sz w:val="18"/>
                <w:szCs w:val="18"/>
                <w:color w:val="0000FF"/>
                <w:w w:val="89"/>
              </w:rPr>
            </w:pPr>
            <w:hyperlink w:anchor="page9">
              <w:r>
                <w:rPr>
                  <w:rFonts w:ascii="Arial" w:cs="Arial" w:eastAsia="Arial" w:hAnsi="Arial"/>
                  <w:sz w:val="18"/>
                  <w:szCs w:val="18"/>
                  <w:color w:val="0000FF"/>
                  <w:w w:val="89"/>
                </w:rPr>
                <w:t>Note 6 - Debt</w:t>
              </w:r>
            </w:hyperlink>
          </w:p>
        </w:tc>
        <w:tc>
          <w:tcPr>
            <w:tcW w:w="1020" w:type="dxa"/>
            <w:vAlign w:val="bottom"/>
            <w:tcBorders>
              <w:top w:val="single" w:sz="8" w:color="0000FF"/>
            </w:tcBorders>
            <w:gridSpan w:val="6"/>
          </w:tcPr>
          <w:p>
            <w:pPr>
              <w:spacing w:after="0"/>
              <w:rPr>
                <w:sz w:val="18"/>
                <w:szCs w:val="18"/>
                <w:color w:val="auto"/>
              </w:rPr>
            </w:pPr>
          </w:p>
        </w:tc>
        <w:tc>
          <w:tcPr>
            <w:tcW w:w="7420" w:type="dxa"/>
            <w:vAlign w:val="bottom"/>
            <w:gridSpan w:val="19"/>
          </w:tcPr>
          <w:p>
            <w:pPr>
              <w:spacing w:after="0"/>
              <w:rPr>
                <w:sz w:val="18"/>
                <w:szCs w:val="18"/>
                <w:color w:val="auto"/>
              </w:rPr>
            </w:pPr>
          </w:p>
        </w:tc>
        <w:tc>
          <w:tcPr>
            <w:tcW w:w="900" w:type="dxa"/>
            <w:vAlign w:val="bottom"/>
          </w:tcPr>
          <w:p>
            <w:pPr>
              <w:jc w:val="right"/>
              <w:spacing w:after="0"/>
              <w:rPr>
                <w:rFonts w:ascii="Arial" w:cs="Arial" w:eastAsia="Arial" w:hAnsi="Arial"/>
                <w:sz w:val="18"/>
                <w:szCs w:val="18"/>
                <w:color w:val="auto"/>
              </w:rPr>
            </w:pPr>
            <w:hyperlink w:anchor="page9">
              <w:r>
                <w:rPr>
                  <w:rFonts w:ascii="Arial" w:cs="Arial" w:eastAsia="Arial" w:hAnsi="Arial"/>
                  <w:sz w:val="18"/>
                  <w:szCs w:val="18"/>
                  <w:color w:val="auto"/>
                </w:rPr>
                <w:t>8</w:t>
              </w:r>
            </w:hyperlink>
          </w:p>
        </w:tc>
      </w:tr>
      <w:tr>
        <w:trPr>
          <w:trHeight w:val="209"/>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80" w:type="dxa"/>
            <w:vAlign w:val="bottom"/>
            <w:tcBorders>
              <w:bottom w:val="single" w:sz="8" w:color="0000FF"/>
            </w:tcBorders>
            <w:gridSpan w:val="5"/>
          </w:tcPr>
          <w:p>
            <w:pPr>
              <w:ind w:left="20"/>
              <w:spacing w:after="0"/>
              <w:rPr>
                <w:rFonts w:ascii="Arial" w:cs="Arial" w:eastAsia="Arial" w:hAnsi="Arial"/>
                <w:sz w:val="18"/>
                <w:szCs w:val="18"/>
                <w:color w:val="0000FF"/>
                <w:w w:val="87"/>
              </w:rPr>
            </w:pPr>
            <w:hyperlink w:anchor="page9">
              <w:r>
                <w:rPr>
                  <w:rFonts w:ascii="Arial" w:cs="Arial" w:eastAsia="Arial" w:hAnsi="Arial"/>
                  <w:sz w:val="18"/>
                  <w:szCs w:val="18"/>
                  <w:color w:val="0000FF"/>
                  <w:w w:val="87"/>
                </w:rPr>
                <w:t>Note 7 - Revenue</w:t>
              </w:r>
            </w:hyperlink>
          </w:p>
        </w:tc>
        <w:tc>
          <w:tcPr>
            <w:tcW w:w="8160" w:type="dxa"/>
            <w:vAlign w:val="bottom"/>
            <w:gridSpan w:val="23"/>
          </w:tcPr>
          <w:p>
            <w:pPr>
              <w:spacing w:after="0"/>
              <w:rPr>
                <w:sz w:val="18"/>
                <w:szCs w:val="18"/>
                <w:color w:val="auto"/>
              </w:rPr>
            </w:pPr>
          </w:p>
        </w:tc>
        <w:tc>
          <w:tcPr>
            <w:tcW w:w="900" w:type="dxa"/>
            <w:vAlign w:val="bottom"/>
          </w:tcPr>
          <w:p>
            <w:pPr>
              <w:jc w:val="right"/>
              <w:spacing w:after="0"/>
              <w:rPr>
                <w:rFonts w:ascii="Arial" w:cs="Arial" w:eastAsia="Arial" w:hAnsi="Arial"/>
                <w:sz w:val="18"/>
                <w:szCs w:val="18"/>
                <w:color w:val="auto"/>
              </w:rPr>
            </w:pPr>
            <w:hyperlink w:anchor="page9">
              <w:r>
                <w:rPr>
                  <w:rFonts w:ascii="Arial" w:cs="Arial" w:eastAsia="Arial" w:hAnsi="Arial"/>
                  <w:sz w:val="18"/>
                  <w:szCs w:val="18"/>
                  <w:color w:val="auto"/>
                </w:rPr>
                <w:t>9</w:t>
              </w:r>
            </w:hyperlink>
          </w:p>
        </w:tc>
      </w:tr>
      <w:tr>
        <w:trPr>
          <w:trHeight w:val="210"/>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40" w:type="dxa"/>
            <w:vAlign w:val="bottom"/>
            <w:gridSpan w:val="28"/>
          </w:tcPr>
          <w:p>
            <w:pPr>
              <w:ind w:left="20"/>
              <w:spacing w:after="0"/>
              <w:rPr>
                <w:rFonts w:ascii="Arial" w:cs="Arial" w:eastAsia="Arial" w:hAnsi="Arial"/>
                <w:sz w:val="18"/>
                <w:szCs w:val="18"/>
                <w:color w:val="0000FF"/>
              </w:rPr>
            </w:pPr>
            <w:hyperlink w:anchor="page10">
              <w:r>
                <w:rPr>
                  <w:rFonts w:ascii="Arial" w:cs="Arial" w:eastAsia="Arial" w:hAnsi="Arial"/>
                  <w:sz w:val="18"/>
                  <w:szCs w:val="18"/>
                  <w:color w:val="0000FF"/>
                </w:rPr>
                <w:t>Note 8 - Impairment and Other</w:t>
              </w:r>
            </w:hyperlink>
          </w:p>
        </w:tc>
        <w:tc>
          <w:tcPr>
            <w:tcW w:w="900" w:type="dxa"/>
            <w:vAlign w:val="bottom"/>
          </w:tcPr>
          <w:p>
            <w:pPr>
              <w:jc w:val="right"/>
              <w:spacing w:after="0"/>
              <w:rPr>
                <w:rFonts w:ascii="Arial" w:cs="Arial" w:eastAsia="Arial" w:hAnsi="Arial"/>
                <w:sz w:val="18"/>
                <w:szCs w:val="18"/>
                <w:color w:val="auto"/>
              </w:rPr>
            </w:pPr>
            <w:hyperlink w:anchor="page10">
              <w:r>
                <w:rPr>
                  <w:rFonts w:ascii="Arial" w:cs="Arial" w:eastAsia="Arial" w:hAnsi="Arial"/>
                  <w:sz w:val="18"/>
                  <w:szCs w:val="18"/>
                  <w:color w:val="auto"/>
                </w:rPr>
                <w:t>10</w:t>
              </w:r>
            </w:hyperlink>
          </w:p>
        </w:tc>
      </w:tr>
      <w:tr>
        <w:trPr>
          <w:trHeight w:val="209"/>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80" w:type="dxa"/>
            <w:vAlign w:val="bottom"/>
            <w:tcBorders>
              <w:top w:val="single" w:sz="8" w:color="0000FF"/>
              <w:bottom w:val="single" w:sz="8" w:color="0000FF"/>
            </w:tcBorders>
            <w:gridSpan w:val="8"/>
          </w:tcPr>
          <w:p>
            <w:pPr>
              <w:ind w:left="20"/>
              <w:spacing w:after="0"/>
              <w:rPr>
                <w:rFonts w:ascii="Arial" w:cs="Arial" w:eastAsia="Arial" w:hAnsi="Arial"/>
                <w:sz w:val="18"/>
                <w:szCs w:val="18"/>
                <w:color w:val="0000FF"/>
                <w:w w:val="88"/>
              </w:rPr>
            </w:pPr>
            <w:hyperlink w:anchor="page11">
              <w:r>
                <w:rPr>
                  <w:rFonts w:ascii="Arial" w:cs="Arial" w:eastAsia="Arial" w:hAnsi="Arial"/>
                  <w:sz w:val="18"/>
                  <w:szCs w:val="18"/>
                  <w:color w:val="0000FF"/>
                  <w:w w:val="88"/>
                </w:rPr>
                <w:t>Note 9 - Retirement Plans</w:t>
              </w:r>
            </w:hyperlink>
          </w:p>
        </w:tc>
        <w:tc>
          <w:tcPr>
            <w:tcW w:w="360" w:type="dxa"/>
            <w:vAlign w:val="bottom"/>
            <w:tcBorders>
              <w:top w:val="single" w:sz="8" w:color="0000FF"/>
            </w:tcBorders>
            <w:gridSpan w:val="5"/>
          </w:tcPr>
          <w:p>
            <w:pPr>
              <w:spacing w:after="0"/>
              <w:rPr>
                <w:sz w:val="18"/>
                <w:szCs w:val="18"/>
                <w:color w:val="auto"/>
              </w:rPr>
            </w:pPr>
          </w:p>
        </w:tc>
        <w:tc>
          <w:tcPr>
            <w:tcW w:w="7200" w:type="dxa"/>
            <w:vAlign w:val="bottom"/>
            <w:gridSpan w:val="15"/>
          </w:tcPr>
          <w:p>
            <w:pPr>
              <w:spacing w:after="0"/>
              <w:rPr>
                <w:sz w:val="18"/>
                <w:szCs w:val="18"/>
                <w:color w:val="auto"/>
              </w:rPr>
            </w:pPr>
          </w:p>
        </w:tc>
        <w:tc>
          <w:tcPr>
            <w:tcW w:w="900" w:type="dxa"/>
            <w:vAlign w:val="bottom"/>
          </w:tcPr>
          <w:p>
            <w:pPr>
              <w:jc w:val="right"/>
              <w:spacing w:after="0"/>
              <w:rPr>
                <w:rFonts w:ascii="Arial" w:cs="Arial" w:eastAsia="Arial" w:hAnsi="Arial"/>
                <w:sz w:val="18"/>
                <w:szCs w:val="18"/>
                <w:color w:val="auto"/>
              </w:rPr>
            </w:pPr>
            <w:hyperlink w:anchor="page11">
              <w:r>
                <w:rPr>
                  <w:rFonts w:ascii="Arial" w:cs="Arial" w:eastAsia="Arial" w:hAnsi="Arial"/>
                  <w:sz w:val="18"/>
                  <w:szCs w:val="18"/>
                  <w:color w:val="auto"/>
                </w:rPr>
                <w:t>10</w:t>
              </w:r>
            </w:hyperlink>
          </w:p>
        </w:tc>
      </w:tr>
      <w:tr>
        <w:trPr>
          <w:trHeight w:val="209"/>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300" w:type="dxa"/>
            <w:vAlign w:val="bottom"/>
            <w:tcBorders>
              <w:bottom w:val="single" w:sz="8" w:color="0000FF"/>
            </w:tcBorders>
            <w:gridSpan w:val="18"/>
          </w:tcPr>
          <w:p>
            <w:pPr>
              <w:ind w:left="20"/>
              <w:spacing w:after="0"/>
              <w:rPr>
                <w:rFonts w:ascii="Arial" w:cs="Arial" w:eastAsia="Arial" w:hAnsi="Arial"/>
                <w:sz w:val="18"/>
                <w:szCs w:val="18"/>
                <w:color w:val="0000FF"/>
                <w:w w:val="88"/>
              </w:rPr>
            </w:pPr>
            <w:hyperlink w:anchor="page11">
              <w:r>
                <w:rPr>
                  <w:rFonts w:ascii="Arial" w:cs="Arial" w:eastAsia="Arial" w:hAnsi="Arial"/>
                  <w:sz w:val="18"/>
                  <w:szCs w:val="18"/>
                  <w:color w:val="0000FF"/>
                  <w:w w:val="88"/>
                </w:rPr>
                <w:t>Note 10 - Weighted Average Common Shares</w:t>
              </w:r>
            </w:hyperlink>
          </w:p>
        </w:tc>
        <w:tc>
          <w:tcPr>
            <w:tcW w:w="6140" w:type="dxa"/>
            <w:vAlign w:val="bottom"/>
            <w:gridSpan w:val="10"/>
          </w:tcPr>
          <w:p>
            <w:pPr>
              <w:spacing w:after="0"/>
              <w:rPr>
                <w:sz w:val="18"/>
                <w:szCs w:val="18"/>
                <w:color w:val="auto"/>
              </w:rPr>
            </w:pPr>
          </w:p>
        </w:tc>
        <w:tc>
          <w:tcPr>
            <w:tcW w:w="900" w:type="dxa"/>
            <w:vAlign w:val="bottom"/>
          </w:tcPr>
          <w:p>
            <w:pPr>
              <w:jc w:val="right"/>
              <w:spacing w:after="0"/>
              <w:rPr>
                <w:rFonts w:ascii="Arial" w:cs="Arial" w:eastAsia="Arial" w:hAnsi="Arial"/>
                <w:sz w:val="18"/>
                <w:szCs w:val="18"/>
                <w:color w:val="auto"/>
              </w:rPr>
            </w:pPr>
            <w:hyperlink w:anchor="page11">
              <w:r>
                <w:rPr>
                  <w:rFonts w:ascii="Arial" w:cs="Arial" w:eastAsia="Arial" w:hAnsi="Arial"/>
                  <w:sz w:val="18"/>
                  <w:szCs w:val="18"/>
                  <w:color w:val="auto"/>
                </w:rPr>
                <w:t>10</w:t>
              </w:r>
            </w:hyperlink>
          </w:p>
        </w:tc>
      </w:tr>
      <w:tr>
        <w:trPr>
          <w:trHeight w:val="209"/>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40" w:type="dxa"/>
            <w:vAlign w:val="bottom"/>
            <w:gridSpan w:val="28"/>
          </w:tcPr>
          <w:p>
            <w:pPr>
              <w:ind w:left="20"/>
              <w:spacing w:after="0"/>
              <w:rPr>
                <w:rFonts w:ascii="Arial" w:cs="Arial" w:eastAsia="Arial" w:hAnsi="Arial"/>
                <w:sz w:val="18"/>
                <w:szCs w:val="18"/>
                <w:color w:val="0000FF"/>
              </w:rPr>
            </w:pPr>
            <w:hyperlink w:anchor="page12">
              <w:r>
                <w:rPr>
                  <w:rFonts w:ascii="Arial" w:cs="Arial" w:eastAsia="Arial" w:hAnsi="Arial"/>
                  <w:sz w:val="18"/>
                  <w:szCs w:val="18"/>
                  <w:color w:val="0000FF"/>
                </w:rPr>
                <w:t xml:space="preserve">Note </w:t>
              </w:r>
            </w:hyperlink>
            <w:r>
              <w:rPr>
                <w:rFonts w:ascii="Arial" w:cs="Arial" w:eastAsia="Arial" w:hAnsi="Arial"/>
                <w:sz w:val="18"/>
                <w:szCs w:val="18"/>
                <w:color w:val="0000FF"/>
              </w:rPr>
              <w:t xml:space="preserve">11 </w:t>
            </w:r>
            <w:hyperlink w:anchor="page12">
              <w:r>
                <w:rPr>
                  <w:rFonts w:ascii="Arial" w:cs="Arial" w:eastAsia="Arial" w:hAnsi="Arial"/>
                  <w:sz w:val="18"/>
                  <w:szCs w:val="18"/>
                  <w:color w:val="0000FF"/>
                </w:rPr>
                <w:t>- Guarantees and Contingencies</w:t>
              </w:r>
            </w:hyperlink>
          </w:p>
        </w:tc>
        <w:tc>
          <w:tcPr>
            <w:tcW w:w="900" w:type="dxa"/>
            <w:vAlign w:val="bottom"/>
          </w:tcPr>
          <w:p>
            <w:pPr>
              <w:jc w:val="right"/>
              <w:spacing w:after="0"/>
              <w:rPr>
                <w:rFonts w:ascii="Arial" w:cs="Arial" w:eastAsia="Arial" w:hAnsi="Arial"/>
                <w:sz w:val="18"/>
                <w:szCs w:val="18"/>
                <w:color w:val="auto"/>
              </w:rPr>
            </w:pPr>
            <w:hyperlink w:anchor="page12">
              <w:r>
                <w:rPr>
                  <w:rFonts w:ascii="Arial" w:cs="Arial" w:eastAsia="Arial" w:hAnsi="Arial"/>
                  <w:sz w:val="18"/>
                  <w:szCs w:val="18"/>
                  <w:color w:val="auto"/>
                </w:rPr>
                <w:t>11</w:t>
              </w:r>
            </w:hyperlink>
          </w:p>
        </w:tc>
      </w:tr>
      <w:tr>
        <w:trPr>
          <w:trHeight w:val="210"/>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920" w:type="dxa"/>
            <w:vAlign w:val="bottom"/>
            <w:tcBorders>
              <w:top w:val="single" w:sz="8" w:color="0000FF"/>
            </w:tcBorders>
            <w:gridSpan w:val="16"/>
          </w:tcPr>
          <w:p>
            <w:pPr>
              <w:ind w:left="20"/>
              <w:spacing w:after="0"/>
              <w:rPr>
                <w:rFonts w:ascii="Arial" w:cs="Arial" w:eastAsia="Arial" w:hAnsi="Arial"/>
                <w:sz w:val="18"/>
                <w:szCs w:val="18"/>
                <w:color w:val="0000FF"/>
              </w:rPr>
            </w:pPr>
            <w:hyperlink w:anchor="page13">
              <w:r>
                <w:rPr>
                  <w:rFonts w:ascii="Arial" w:cs="Arial" w:eastAsia="Arial" w:hAnsi="Arial"/>
                  <w:sz w:val="18"/>
                  <w:szCs w:val="18"/>
                  <w:color w:val="0000FF"/>
                </w:rPr>
                <w:t xml:space="preserve">Note </w:t>
              </w:r>
            </w:hyperlink>
            <w:r>
              <w:rPr>
                <w:rFonts w:ascii="Arial" w:cs="Arial" w:eastAsia="Arial" w:hAnsi="Arial"/>
                <w:sz w:val="18"/>
                <w:szCs w:val="18"/>
                <w:color w:val="0000FF"/>
              </w:rPr>
              <w:t xml:space="preserve">12 </w:t>
            </w:r>
            <w:hyperlink w:anchor="page13">
              <w:r>
                <w:rPr>
                  <w:rFonts w:ascii="Arial" w:cs="Arial" w:eastAsia="Arial" w:hAnsi="Arial"/>
                  <w:sz w:val="18"/>
                  <w:szCs w:val="18"/>
                  <w:color w:val="0000FF"/>
                </w:rPr>
                <w:t>- Segment Information</w:t>
              </w:r>
            </w:hyperlink>
          </w:p>
        </w:tc>
        <w:tc>
          <w:tcPr>
            <w:tcW w:w="6520" w:type="dxa"/>
            <w:vAlign w:val="bottom"/>
            <w:gridSpan w:val="12"/>
          </w:tcPr>
          <w:p>
            <w:pPr>
              <w:spacing w:after="0"/>
              <w:rPr>
                <w:sz w:val="18"/>
                <w:szCs w:val="18"/>
                <w:color w:val="auto"/>
              </w:rPr>
            </w:pPr>
          </w:p>
        </w:tc>
        <w:tc>
          <w:tcPr>
            <w:tcW w:w="900" w:type="dxa"/>
            <w:vAlign w:val="bottom"/>
          </w:tcPr>
          <w:p>
            <w:pPr>
              <w:jc w:val="right"/>
              <w:spacing w:after="0"/>
              <w:rPr>
                <w:rFonts w:ascii="Arial" w:cs="Arial" w:eastAsia="Arial" w:hAnsi="Arial"/>
                <w:sz w:val="18"/>
                <w:szCs w:val="18"/>
                <w:color w:val="auto"/>
              </w:rPr>
            </w:pPr>
            <w:hyperlink w:anchor="page13">
              <w:r>
                <w:rPr>
                  <w:rFonts w:ascii="Arial" w:cs="Arial" w:eastAsia="Arial" w:hAnsi="Arial"/>
                  <w:sz w:val="18"/>
                  <w:szCs w:val="18"/>
                  <w:color w:val="auto"/>
                </w:rPr>
                <w:t>13</w:t>
              </w:r>
            </w:hyperlink>
          </w:p>
        </w:tc>
      </w:tr>
      <w:tr>
        <w:trPr>
          <w:trHeight w:val="20"/>
        </w:trPr>
        <w:tc>
          <w:tcPr>
            <w:tcW w:w="4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580" w:type="dxa"/>
            <w:vAlign w:val="bottom"/>
            <w:gridSpan w:val="2"/>
            <w:shd w:val="clear" w:color="auto" w:fill="0000FF"/>
          </w:tcPr>
          <w:p>
            <w:pPr>
              <w:spacing w:after="0" w:line="20" w:lineRule="exact"/>
              <w:rPr>
                <w:sz w:val="1"/>
                <w:szCs w:val="1"/>
                <w:color w:val="auto"/>
              </w:rPr>
            </w:pPr>
          </w:p>
        </w:tc>
        <w:tc>
          <w:tcPr>
            <w:tcW w:w="440" w:type="dxa"/>
            <w:vAlign w:val="bottom"/>
            <w:gridSpan w:val="3"/>
            <w:shd w:val="clear" w:color="auto" w:fill="0000FF"/>
          </w:tcPr>
          <w:p>
            <w:pPr>
              <w:spacing w:after="0" w:line="20" w:lineRule="exact"/>
              <w:rPr>
                <w:sz w:val="1"/>
                <w:szCs w:val="1"/>
                <w:color w:val="auto"/>
              </w:rPr>
            </w:pPr>
          </w:p>
        </w:tc>
        <w:tc>
          <w:tcPr>
            <w:tcW w:w="520" w:type="dxa"/>
            <w:vAlign w:val="bottom"/>
            <w:gridSpan w:val="4"/>
            <w:shd w:val="clear" w:color="auto" w:fill="0000FF"/>
          </w:tcPr>
          <w:p>
            <w:pPr>
              <w:spacing w:after="0" w:line="20" w:lineRule="exact"/>
              <w:rPr>
                <w:sz w:val="1"/>
                <w:szCs w:val="1"/>
                <w:color w:val="auto"/>
              </w:rPr>
            </w:pPr>
          </w:p>
        </w:tc>
        <w:tc>
          <w:tcPr>
            <w:tcW w:w="160" w:type="dxa"/>
            <w:vAlign w:val="bottom"/>
            <w:gridSpan w:val="3"/>
            <w:shd w:val="clear" w:color="auto" w:fill="0000FF"/>
          </w:tcPr>
          <w:p>
            <w:pPr>
              <w:spacing w:after="0" w:line="20" w:lineRule="exact"/>
              <w:rPr>
                <w:sz w:val="1"/>
                <w:szCs w:val="1"/>
                <w:color w:val="auto"/>
              </w:rPr>
            </w:pPr>
          </w:p>
        </w:tc>
        <w:tc>
          <w:tcPr>
            <w:tcW w:w="900" w:type="dxa"/>
            <w:vAlign w:val="bottom"/>
            <w:gridSpan w:val="3"/>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188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180" w:type="dxa"/>
            <w:vAlign w:val="bottom"/>
            <w:gridSpan w:val="4"/>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r>
        <w:trPr>
          <w:trHeight w:val="209"/>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40" w:type="dxa"/>
            <w:vAlign w:val="bottom"/>
            <w:gridSpan w:val="28"/>
          </w:tcPr>
          <w:p>
            <w:pPr>
              <w:ind w:left="20"/>
              <w:spacing w:after="0"/>
              <w:rPr>
                <w:rFonts w:ascii="Arial" w:cs="Arial" w:eastAsia="Arial" w:hAnsi="Arial"/>
                <w:sz w:val="18"/>
                <w:szCs w:val="18"/>
                <w:color w:val="0000FF"/>
              </w:rPr>
            </w:pPr>
            <w:hyperlink w:anchor="page15">
              <w:r>
                <w:rPr>
                  <w:rFonts w:ascii="Arial" w:cs="Arial" w:eastAsia="Arial" w:hAnsi="Arial"/>
                  <w:sz w:val="18"/>
                  <w:szCs w:val="18"/>
                  <w:color w:val="0000FF"/>
                </w:rPr>
                <w:t xml:space="preserve">Note </w:t>
              </w:r>
            </w:hyperlink>
            <w:r>
              <w:rPr>
                <w:rFonts w:ascii="Arial" w:cs="Arial" w:eastAsia="Arial" w:hAnsi="Arial"/>
                <w:sz w:val="18"/>
                <w:szCs w:val="18"/>
                <w:color w:val="0000FF"/>
              </w:rPr>
              <w:t xml:space="preserve">13 </w:t>
            </w:r>
            <w:hyperlink w:anchor="page15">
              <w:r>
                <w:rPr>
                  <w:rFonts w:ascii="Arial" w:cs="Arial" w:eastAsia="Arial" w:hAnsi="Arial"/>
                  <w:sz w:val="18"/>
                  <w:szCs w:val="18"/>
                  <w:color w:val="0000FF"/>
                </w:rPr>
                <w:t>- Financial Risk Management Activities</w:t>
              </w:r>
            </w:hyperlink>
          </w:p>
        </w:tc>
        <w:tc>
          <w:tcPr>
            <w:tcW w:w="900" w:type="dxa"/>
            <w:vAlign w:val="bottom"/>
          </w:tcPr>
          <w:p>
            <w:pPr>
              <w:jc w:val="right"/>
              <w:spacing w:after="0"/>
              <w:rPr>
                <w:rFonts w:ascii="Arial" w:cs="Arial" w:eastAsia="Arial" w:hAnsi="Arial"/>
                <w:sz w:val="18"/>
                <w:szCs w:val="18"/>
                <w:color w:val="auto"/>
              </w:rPr>
            </w:pPr>
            <w:hyperlink w:anchor="page15">
              <w:r>
                <w:rPr>
                  <w:rFonts w:ascii="Arial" w:cs="Arial" w:eastAsia="Arial" w:hAnsi="Arial"/>
                  <w:sz w:val="18"/>
                  <w:szCs w:val="18"/>
                  <w:color w:val="auto"/>
                </w:rPr>
                <w:t>14</w:t>
              </w:r>
            </w:hyperlink>
          </w:p>
        </w:tc>
      </w:tr>
      <w:tr>
        <w:trPr>
          <w:trHeight w:val="210"/>
        </w:trPr>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100" w:type="dxa"/>
            <w:vAlign w:val="bottom"/>
            <w:tcBorders>
              <w:top w:val="single" w:sz="8" w:color="0000FF"/>
              <w:bottom w:val="single" w:sz="8" w:color="0000FF"/>
            </w:tcBorders>
            <w:gridSpan w:val="11"/>
          </w:tcPr>
          <w:p>
            <w:pPr>
              <w:ind w:left="20"/>
              <w:spacing w:after="0"/>
              <w:rPr>
                <w:rFonts w:ascii="Arial" w:cs="Arial" w:eastAsia="Arial" w:hAnsi="Arial"/>
                <w:sz w:val="18"/>
                <w:szCs w:val="18"/>
                <w:color w:val="0000FF"/>
                <w:w w:val="87"/>
              </w:rPr>
            </w:pPr>
            <w:hyperlink w:anchor="page17">
              <w:r>
                <w:rPr>
                  <w:rFonts w:ascii="Arial" w:cs="Arial" w:eastAsia="Arial" w:hAnsi="Arial"/>
                  <w:sz w:val="18"/>
                  <w:szCs w:val="18"/>
                  <w:color w:val="0000FF"/>
                  <w:w w:val="87"/>
                </w:rPr>
                <w:t xml:space="preserve">Note </w:t>
              </w:r>
            </w:hyperlink>
            <w:r>
              <w:rPr>
                <w:rFonts w:ascii="Arial" w:cs="Arial" w:eastAsia="Arial" w:hAnsi="Arial"/>
                <w:sz w:val="18"/>
                <w:szCs w:val="18"/>
                <w:color w:val="0000FF"/>
                <w:w w:val="87"/>
              </w:rPr>
              <w:t xml:space="preserve">14 </w:t>
            </w:r>
            <w:hyperlink w:anchor="page17">
              <w:r>
                <w:rPr>
                  <w:rFonts w:ascii="Arial" w:cs="Arial" w:eastAsia="Arial" w:hAnsi="Arial"/>
                  <w:sz w:val="18"/>
                  <w:szCs w:val="18"/>
                  <w:color w:val="0000FF"/>
                  <w:w w:val="87"/>
                </w:rPr>
                <w:t>- Subsequent Events</w:t>
              </w:r>
            </w:hyperlink>
          </w:p>
        </w:tc>
        <w:tc>
          <w:tcPr>
            <w:tcW w:w="1400" w:type="dxa"/>
            <w:vAlign w:val="bottom"/>
            <w:tcBorders>
              <w:top w:val="single" w:sz="8" w:color="0000FF"/>
            </w:tcBorders>
            <w:gridSpan w:val="8"/>
          </w:tcPr>
          <w:p>
            <w:pPr>
              <w:spacing w:after="0"/>
              <w:rPr>
                <w:sz w:val="18"/>
                <w:szCs w:val="18"/>
                <w:color w:val="auto"/>
              </w:rPr>
            </w:pPr>
          </w:p>
        </w:tc>
        <w:tc>
          <w:tcPr>
            <w:tcW w:w="5940" w:type="dxa"/>
            <w:vAlign w:val="bottom"/>
            <w:gridSpan w:val="9"/>
          </w:tcPr>
          <w:p>
            <w:pPr>
              <w:spacing w:after="0"/>
              <w:rPr>
                <w:sz w:val="18"/>
                <w:szCs w:val="18"/>
                <w:color w:val="auto"/>
              </w:rPr>
            </w:pPr>
          </w:p>
        </w:tc>
        <w:tc>
          <w:tcPr>
            <w:tcW w:w="900" w:type="dxa"/>
            <w:vAlign w:val="bottom"/>
          </w:tcPr>
          <w:p>
            <w:pPr>
              <w:jc w:val="right"/>
              <w:spacing w:after="0"/>
              <w:rPr>
                <w:rFonts w:ascii="Arial" w:cs="Arial" w:eastAsia="Arial" w:hAnsi="Arial"/>
                <w:sz w:val="18"/>
                <w:szCs w:val="18"/>
                <w:color w:val="auto"/>
              </w:rPr>
            </w:pPr>
            <w:hyperlink w:anchor="page17">
              <w:r>
                <w:rPr>
                  <w:rFonts w:ascii="Arial" w:cs="Arial" w:eastAsia="Arial" w:hAnsi="Arial"/>
                  <w:sz w:val="18"/>
                  <w:szCs w:val="18"/>
                  <w:color w:val="auto"/>
                </w:rPr>
                <w:t>16</w:t>
              </w:r>
            </w:hyperlink>
          </w:p>
        </w:tc>
      </w:tr>
      <w:tr>
        <w:trPr>
          <w:trHeight w:val="439"/>
        </w:trPr>
        <w:tc>
          <w:tcPr>
            <w:tcW w:w="400" w:type="dxa"/>
            <w:vAlign w:val="bottom"/>
          </w:tcPr>
          <w:p>
            <w:pPr>
              <w:jc w:val="right"/>
              <w:ind w:right="196"/>
              <w:spacing w:after="0"/>
              <w:rPr>
                <w:rFonts w:ascii="Arial" w:cs="Arial" w:eastAsia="Arial" w:hAnsi="Arial"/>
                <w:sz w:val="17"/>
                <w:szCs w:val="17"/>
                <w:color w:val="auto"/>
                <w:w w:val="70"/>
              </w:rPr>
            </w:pPr>
            <w:hyperlink w:anchor="page17">
              <w:r>
                <w:rPr>
                  <w:rFonts w:ascii="Arial" w:cs="Arial" w:eastAsia="Arial" w:hAnsi="Arial"/>
                  <w:sz w:val="17"/>
                  <w:szCs w:val="17"/>
                  <w:color w:val="auto"/>
                  <w:w w:val="70"/>
                </w:rPr>
                <w:t>2.</w:t>
              </w:r>
            </w:hyperlink>
          </w:p>
        </w:tc>
        <w:tc>
          <w:tcPr>
            <w:tcW w:w="9640" w:type="dxa"/>
            <w:vAlign w:val="bottom"/>
            <w:gridSpan w:val="29"/>
          </w:tcPr>
          <w:p>
            <w:pPr>
              <w:spacing w:after="0"/>
              <w:rPr>
                <w:rFonts w:ascii="Arial" w:cs="Arial" w:eastAsia="Arial" w:hAnsi="Arial"/>
                <w:sz w:val="18"/>
                <w:szCs w:val="18"/>
                <w:color w:val="0000FF"/>
              </w:rPr>
            </w:pPr>
            <w:hyperlink w:anchor="page17">
              <w:r>
                <w:rPr>
                  <w:rFonts w:ascii="Arial" w:cs="Arial" w:eastAsia="Arial" w:hAnsi="Arial"/>
                  <w:sz w:val="18"/>
                  <w:szCs w:val="18"/>
                  <w:color w:val="0000FF"/>
                </w:rPr>
                <w:t>Management’s Discussion and Analysis of Financial Condition and Results of Operations</w:t>
              </w:r>
            </w:hyperlink>
          </w:p>
        </w:tc>
        <w:tc>
          <w:tcPr>
            <w:tcW w:w="900" w:type="dxa"/>
            <w:vAlign w:val="bottom"/>
          </w:tcPr>
          <w:p>
            <w:pPr>
              <w:jc w:val="right"/>
              <w:spacing w:after="0"/>
              <w:rPr>
                <w:rFonts w:ascii="Arial" w:cs="Arial" w:eastAsia="Arial" w:hAnsi="Arial"/>
                <w:sz w:val="18"/>
                <w:szCs w:val="18"/>
                <w:color w:val="auto"/>
              </w:rPr>
            </w:pPr>
            <w:hyperlink w:anchor="page17">
              <w:r>
                <w:rPr>
                  <w:rFonts w:ascii="Arial" w:cs="Arial" w:eastAsia="Arial" w:hAnsi="Arial"/>
                  <w:sz w:val="18"/>
                  <w:szCs w:val="18"/>
                  <w:color w:val="auto"/>
                </w:rPr>
                <w:t>17</w:t>
              </w:r>
            </w:hyperlink>
          </w:p>
        </w:tc>
      </w:tr>
      <w:tr>
        <w:trPr>
          <w:trHeight w:val="210"/>
        </w:trPr>
        <w:tc>
          <w:tcPr>
            <w:tcW w:w="400" w:type="dxa"/>
            <w:vAlign w:val="bottom"/>
          </w:tcPr>
          <w:p>
            <w:pPr>
              <w:jc w:val="right"/>
              <w:ind w:right="196"/>
              <w:spacing w:after="0"/>
              <w:rPr>
                <w:rFonts w:ascii="Arial" w:cs="Arial" w:eastAsia="Arial" w:hAnsi="Arial"/>
                <w:sz w:val="17"/>
                <w:szCs w:val="17"/>
                <w:color w:val="auto"/>
                <w:w w:val="70"/>
              </w:rPr>
            </w:pPr>
            <w:hyperlink w:anchor="page34">
              <w:r>
                <w:rPr>
                  <w:rFonts w:ascii="Arial" w:cs="Arial" w:eastAsia="Arial" w:hAnsi="Arial"/>
                  <w:sz w:val="17"/>
                  <w:szCs w:val="17"/>
                  <w:color w:val="auto"/>
                  <w:w w:val="70"/>
                </w:rPr>
                <w:t>3.</w:t>
              </w:r>
            </w:hyperlink>
          </w:p>
        </w:tc>
        <w:tc>
          <w:tcPr>
            <w:tcW w:w="4320" w:type="dxa"/>
            <w:vAlign w:val="bottom"/>
            <w:tcBorders>
              <w:top w:val="single" w:sz="8" w:color="0000FF"/>
              <w:bottom w:val="single" w:sz="8" w:color="0000FF"/>
            </w:tcBorders>
            <w:gridSpan w:val="22"/>
          </w:tcPr>
          <w:p>
            <w:pPr>
              <w:spacing w:after="0"/>
              <w:rPr>
                <w:rFonts w:ascii="Arial" w:cs="Arial" w:eastAsia="Arial" w:hAnsi="Arial"/>
                <w:sz w:val="18"/>
                <w:szCs w:val="18"/>
                <w:color w:val="0000FF"/>
                <w:w w:val="91"/>
              </w:rPr>
            </w:pPr>
            <w:hyperlink w:anchor="page34">
              <w:r>
                <w:rPr>
                  <w:rFonts w:ascii="Arial" w:cs="Arial" w:eastAsia="Arial" w:hAnsi="Arial"/>
                  <w:sz w:val="18"/>
                  <w:szCs w:val="18"/>
                  <w:color w:val="0000FF"/>
                  <w:w w:val="91"/>
                </w:rPr>
                <w:t>Quantitative and Qualitative Disclosures about Market Risk</w:t>
              </w:r>
            </w:hyperlink>
          </w:p>
        </w:tc>
        <w:tc>
          <w:tcPr>
            <w:tcW w:w="2140" w:type="dxa"/>
            <w:vAlign w:val="bottom"/>
            <w:tcBorders>
              <w:top w:val="single" w:sz="8" w:color="0000FF"/>
            </w:tcBorders>
            <w:gridSpan w:val="3"/>
          </w:tcPr>
          <w:p>
            <w:pPr>
              <w:spacing w:after="0"/>
              <w:rPr>
                <w:sz w:val="18"/>
                <w:szCs w:val="18"/>
                <w:color w:val="auto"/>
              </w:rPr>
            </w:pPr>
          </w:p>
        </w:tc>
        <w:tc>
          <w:tcPr>
            <w:tcW w:w="3180" w:type="dxa"/>
            <w:vAlign w:val="bottom"/>
            <w:gridSpan w:val="4"/>
          </w:tcPr>
          <w:p>
            <w:pPr>
              <w:spacing w:after="0"/>
              <w:rPr>
                <w:sz w:val="18"/>
                <w:szCs w:val="18"/>
                <w:color w:val="auto"/>
              </w:rPr>
            </w:pPr>
          </w:p>
        </w:tc>
        <w:tc>
          <w:tcPr>
            <w:tcW w:w="900" w:type="dxa"/>
            <w:vAlign w:val="bottom"/>
          </w:tcPr>
          <w:p>
            <w:pPr>
              <w:jc w:val="right"/>
              <w:spacing w:after="0"/>
              <w:rPr>
                <w:rFonts w:ascii="Arial" w:cs="Arial" w:eastAsia="Arial" w:hAnsi="Arial"/>
                <w:sz w:val="18"/>
                <w:szCs w:val="18"/>
                <w:color w:val="auto"/>
              </w:rPr>
            </w:pPr>
            <w:hyperlink w:anchor="page34">
              <w:r>
                <w:rPr>
                  <w:rFonts w:ascii="Arial" w:cs="Arial" w:eastAsia="Arial" w:hAnsi="Arial"/>
                  <w:sz w:val="18"/>
                  <w:szCs w:val="18"/>
                  <w:color w:val="auto"/>
                </w:rPr>
                <w:t>33</w:t>
              </w:r>
            </w:hyperlink>
          </w:p>
        </w:tc>
      </w:tr>
      <w:tr>
        <w:trPr>
          <w:trHeight w:val="210"/>
        </w:trPr>
        <w:tc>
          <w:tcPr>
            <w:tcW w:w="400" w:type="dxa"/>
            <w:vAlign w:val="bottom"/>
          </w:tcPr>
          <w:p>
            <w:pPr>
              <w:jc w:val="right"/>
              <w:ind w:right="196"/>
              <w:spacing w:after="0"/>
              <w:rPr>
                <w:rFonts w:ascii="Arial" w:cs="Arial" w:eastAsia="Arial" w:hAnsi="Arial"/>
                <w:sz w:val="17"/>
                <w:szCs w:val="17"/>
                <w:color w:val="auto"/>
                <w:w w:val="70"/>
              </w:rPr>
            </w:pPr>
            <w:hyperlink w:anchor="page34">
              <w:r>
                <w:rPr>
                  <w:rFonts w:ascii="Arial" w:cs="Arial" w:eastAsia="Arial" w:hAnsi="Arial"/>
                  <w:sz w:val="17"/>
                  <w:szCs w:val="17"/>
                  <w:color w:val="auto"/>
                  <w:w w:val="70"/>
                </w:rPr>
                <w:t>4.</w:t>
              </w:r>
            </w:hyperlink>
          </w:p>
        </w:tc>
        <w:tc>
          <w:tcPr>
            <w:tcW w:w="9640" w:type="dxa"/>
            <w:vAlign w:val="bottom"/>
            <w:gridSpan w:val="29"/>
          </w:tcPr>
          <w:p>
            <w:pPr>
              <w:spacing w:after="0"/>
              <w:rPr>
                <w:rFonts w:ascii="Arial" w:cs="Arial" w:eastAsia="Arial" w:hAnsi="Arial"/>
                <w:sz w:val="18"/>
                <w:szCs w:val="18"/>
                <w:color w:val="0000FF"/>
              </w:rPr>
            </w:pPr>
            <w:hyperlink w:anchor="page34">
              <w:r>
                <w:rPr>
                  <w:rFonts w:ascii="Arial" w:cs="Arial" w:eastAsia="Arial" w:hAnsi="Arial"/>
                  <w:sz w:val="18"/>
                  <w:szCs w:val="18"/>
                  <w:color w:val="0000FF"/>
                </w:rPr>
                <w:t>Controls and Procedures</w:t>
              </w:r>
            </w:hyperlink>
          </w:p>
        </w:tc>
        <w:tc>
          <w:tcPr>
            <w:tcW w:w="900" w:type="dxa"/>
            <w:vAlign w:val="bottom"/>
          </w:tcPr>
          <w:p>
            <w:pPr>
              <w:jc w:val="right"/>
              <w:spacing w:after="0"/>
              <w:rPr>
                <w:rFonts w:ascii="Arial" w:cs="Arial" w:eastAsia="Arial" w:hAnsi="Arial"/>
                <w:sz w:val="18"/>
                <w:szCs w:val="18"/>
                <w:color w:val="auto"/>
              </w:rPr>
            </w:pPr>
            <w:hyperlink w:anchor="page34">
              <w:r>
                <w:rPr>
                  <w:rFonts w:ascii="Arial" w:cs="Arial" w:eastAsia="Arial" w:hAnsi="Arial"/>
                  <w:sz w:val="18"/>
                  <w:szCs w:val="18"/>
                  <w:color w:val="auto"/>
                </w:rPr>
                <w:t>33</w:t>
              </w:r>
            </w:hyperlink>
          </w:p>
        </w:tc>
      </w:tr>
      <w:tr>
        <w:trPr>
          <w:trHeight w:val="439"/>
        </w:trPr>
        <w:tc>
          <w:tcPr>
            <w:tcW w:w="400" w:type="dxa"/>
            <w:vAlign w:val="bottom"/>
          </w:tcPr>
          <w:p>
            <w:pPr>
              <w:spacing w:after="0"/>
              <w:rPr>
                <w:sz w:val="24"/>
                <w:szCs w:val="24"/>
                <w:color w:val="auto"/>
              </w:rPr>
            </w:pPr>
          </w:p>
        </w:tc>
        <w:tc>
          <w:tcPr>
            <w:tcW w:w="200" w:type="dxa"/>
            <w:vAlign w:val="bottom"/>
            <w:tcBorders>
              <w:top w:val="single" w:sz="8" w:color="0000FF"/>
            </w:tcBorders>
          </w:tcPr>
          <w:p>
            <w:pPr>
              <w:spacing w:after="0"/>
              <w:rPr>
                <w:sz w:val="24"/>
                <w:szCs w:val="24"/>
                <w:color w:val="auto"/>
              </w:rPr>
            </w:pPr>
          </w:p>
        </w:tc>
        <w:tc>
          <w:tcPr>
            <w:tcW w:w="400" w:type="dxa"/>
            <w:vAlign w:val="bottom"/>
            <w:tcBorders>
              <w:top w:val="single" w:sz="8" w:color="0000FF"/>
            </w:tcBorders>
          </w:tcPr>
          <w:p>
            <w:pPr>
              <w:spacing w:after="0"/>
              <w:rPr>
                <w:sz w:val="24"/>
                <w:szCs w:val="24"/>
                <w:color w:val="auto"/>
              </w:rPr>
            </w:pPr>
          </w:p>
        </w:tc>
        <w:tc>
          <w:tcPr>
            <w:tcW w:w="160" w:type="dxa"/>
            <w:vAlign w:val="bottom"/>
            <w:tcBorders>
              <w:top w:val="single" w:sz="8" w:color="0000FF"/>
            </w:tcBorders>
          </w:tcPr>
          <w:p>
            <w:pPr>
              <w:spacing w:after="0"/>
              <w:rPr>
                <w:sz w:val="24"/>
                <w:szCs w:val="24"/>
                <w:color w:val="auto"/>
              </w:rPr>
            </w:pPr>
          </w:p>
        </w:tc>
        <w:tc>
          <w:tcPr>
            <w:tcW w:w="44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180" w:type="dxa"/>
            <w:vAlign w:val="bottom"/>
            <w:tcBorders>
              <w:top w:val="single" w:sz="8" w:color="0000FF"/>
            </w:tcBorders>
          </w:tcPr>
          <w:p>
            <w:pPr>
              <w:spacing w:after="0"/>
              <w:rPr>
                <w:sz w:val="24"/>
                <w:szCs w:val="24"/>
                <w:color w:val="auto"/>
              </w:rPr>
            </w:pPr>
          </w:p>
        </w:tc>
        <w:tc>
          <w:tcPr>
            <w:tcW w:w="120" w:type="dxa"/>
            <w:vAlign w:val="bottom"/>
            <w:tcBorders>
              <w:top w:val="single" w:sz="8" w:color="0000FF"/>
            </w:tcBorders>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40" w:type="dxa"/>
            <w:vAlign w:val="bottom"/>
            <w:tcBorders>
              <w:bottom w:val="single" w:sz="8" w:color="0000FF"/>
            </w:tcBorders>
            <w:gridSpan w:val="6"/>
          </w:tcPr>
          <w:p>
            <w:pPr>
              <w:spacing w:after="0"/>
              <w:rPr>
                <w:rFonts w:ascii="Arial" w:cs="Arial" w:eastAsia="Arial" w:hAnsi="Arial"/>
                <w:sz w:val="18"/>
                <w:szCs w:val="18"/>
                <w:b w:val="1"/>
                <w:bCs w:val="1"/>
                <w:color w:val="0000FF"/>
              </w:rPr>
            </w:pPr>
            <w:hyperlink w:anchor="page34">
              <w:r>
                <w:rPr>
                  <w:rFonts w:ascii="Arial" w:cs="Arial" w:eastAsia="Arial" w:hAnsi="Arial"/>
                  <w:sz w:val="18"/>
                  <w:szCs w:val="18"/>
                  <w:b w:val="1"/>
                  <w:bCs w:val="1"/>
                  <w:color w:val="0000FF"/>
                </w:rPr>
                <w:t>PART II - OTHER INFORMATION</w:t>
              </w:r>
            </w:hyperlink>
          </w:p>
        </w:tc>
        <w:tc>
          <w:tcPr>
            <w:tcW w:w="3440" w:type="dxa"/>
            <w:vAlign w:val="bottom"/>
            <w:gridSpan w:val="5"/>
          </w:tcPr>
          <w:p>
            <w:pPr>
              <w:spacing w:after="0"/>
              <w:rPr>
                <w:sz w:val="24"/>
                <w:szCs w:val="24"/>
                <w:color w:val="auto"/>
              </w:rPr>
            </w:pPr>
          </w:p>
        </w:tc>
        <w:tc>
          <w:tcPr>
            <w:tcW w:w="900" w:type="dxa"/>
            <w:vAlign w:val="bottom"/>
          </w:tcPr>
          <w:p>
            <w:pPr>
              <w:spacing w:after="0"/>
              <w:rPr>
                <w:sz w:val="24"/>
                <w:szCs w:val="24"/>
                <w:color w:val="auto"/>
              </w:rPr>
            </w:pPr>
          </w:p>
        </w:tc>
      </w:tr>
      <w:tr>
        <w:trPr>
          <w:trHeight w:val="209"/>
        </w:trPr>
        <w:tc>
          <w:tcPr>
            <w:tcW w:w="400" w:type="dxa"/>
            <w:vAlign w:val="bottom"/>
          </w:tcPr>
          <w:p>
            <w:pPr>
              <w:jc w:val="right"/>
              <w:ind w:right="196"/>
              <w:spacing w:after="0"/>
              <w:rPr>
                <w:rFonts w:ascii="Arial" w:cs="Arial" w:eastAsia="Arial" w:hAnsi="Arial"/>
                <w:sz w:val="17"/>
                <w:szCs w:val="17"/>
                <w:color w:val="auto"/>
                <w:w w:val="70"/>
              </w:rPr>
            </w:pPr>
            <w:hyperlink w:anchor="page35">
              <w:r>
                <w:rPr>
                  <w:rFonts w:ascii="Arial" w:cs="Arial" w:eastAsia="Arial" w:hAnsi="Arial"/>
                  <w:sz w:val="17"/>
                  <w:szCs w:val="17"/>
                  <w:color w:val="auto"/>
                  <w:w w:val="70"/>
                </w:rPr>
                <w:t>1.</w:t>
              </w:r>
            </w:hyperlink>
          </w:p>
        </w:tc>
        <w:tc>
          <w:tcPr>
            <w:tcW w:w="9640" w:type="dxa"/>
            <w:vAlign w:val="bottom"/>
            <w:gridSpan w:val="29"/>
          </w:tcPr>
          <w:p>
            <w:pPr>
              <w:spacing w:after="0"/>
              <w:rPr>
                <w:rFonts w:ascii="Arial" w:cs="Arial" w:eastAsia="Arial" w:hAnsi="Arial"/>
                <w:sz w:val="18"/>
                <w:szCs w:val="18"/>
                <w:color w:val="0000FF"/>
              </w:rPr>
            </w:pPr>
            <w:hyperlink w:anchor="page35">
              <w:r>
                <w:rPr>
                  <w:rFonts w:ascii="Arial" w:cs="Arial" w:eastAsia="Arial" w:hAnsi="Arial"/>
                  <w:sz w:val="18"/>
                  <w:szCs w:val="18"/>
                  <w:color w:val="0000FF"/>
                </w:rPr>
                <w:t>Legal Proceedings</w:t>
              </w:r>
            </w:hyperlink>
          </w:p>
        </w:tc>
        <w:tc>
          <w:tcPr>
            <w:tcW w:w="900" w:type="dxa"/>
            <w:vAlign w:val="bottom"/>
          </w:tcPr>
          <w:p>
            <w:pPr>
              <w:jc w:val="right"/>
              <w:spacing w:after="0"/>
              <w:rPr>
                <w:rFonts w:ascii="Arial" w:cs="Arial" w:eastAsia="Arial" w:hAnsi="Arial"/>
                <w:sz w:val="18"/>
                <w:szCs w:val="18"/>
                <w:color w:val="auto"/>
              </w:rPr>
            </w:pPr>
            <w:hyperlink w:anchor="page35">
              <w:r>
                <w:rPr>
                  <w:rFonts w:ascii="Arial" w:cs="Arial" w:eastAsia="Arial" w:hAnsi="Arial"/>
                  <w:sz w:val="18"/>
                  <w:szCs w:val="18"/>
                  <w:color w:val="auto"/>
                </w:rPr>
                <w:t>34</w:t>
              </w:r>
            </w:hyperlink>
          </w:p>
        </w:tc>
      </w:tr>
      <w:tr>
        <w:trPr>
          <w:trHeight w:val="210"/>
        </w:trPr>
        <w:tc>
          <w:tcPr>
            <w:tcW w:w="400" w:type="dxa"/>
            <w:vAlign w:val="bottom"/>
          </w:tcPr>
          <w:p>
            <w:pPr>
              <w:jc w:val="right"/>
              <w:ind w:right="196"/>
              <w:spacing w:after="0"/>
              <w:rPr>
                <w:rFonts w:ascii="Arial" w:cs="Arial" w:eastAsia="Arial" w:hAnsi="Arial"/>
                <w:sz w:val="17"/>
                <w:szCs w:val="17"/>
                <w:color w:val="auto"/>
                <w:w w:val="70"/>
              </w:rPr>
            </w:pPr>
            <w:hyperlink w:anchor="page35">
              <w:r>
                <w:rPr>
                  <w:rFonts w:ascii="Arial" w:cs="Arial" w:eastAsia="Arial" w:hAnsi="Arial"/>
                  <w:sz w:val="17"/>
                  <w:szCs w:val="17"/>
                  <w:color w:val="auto"/>
                  <w:w w:val="70"/>
                </w:rPr>
                <w:t>6.</w:t>
              </w:r>
            </w:hyperlink>
          </w:p>
        </w:tc>
        <w:tc>
          <w:tcPr>
            <w:tcW w:w="1340" w:type="dxa"/>
            <w:vAlign w:val="bottom"/>
            <w:tcBorders>
              <w:top w:val="single" w:sz="8" w:color="0000FF"/>
            </w:tcBorders>
            <w:gridSpan w:val="5"/>
          </w:tcPr>
          <w:p>
            <w:pPr>
              <w:spacing w:after="0"/>
              <w:rPr>
                <w:rFonts w:ascii="Arial" w:cs="Arial" w:eastAsia="Arial" w:hAnsi="Arial"/>
                <w:sz w:val="18"/>
                <w:szCs w:val="18"/>
                <w:color w:val="0000FF"/>
              </w:rPr>
            </w:pPr>
            <w:hyperlink w:anchor="page35">
              <w:r>
                <w:rPr>
                  <w:rFonts w:ascii="Arial" w:cs="Arial" w:eastAsia="Arial" w:hAnsi="Arial"/>
                  <w:sz w:val="18"/>
                  <w:szCs w:val="18"/>
                  <w:color w:val="0000FF"/>
                </w:rPr>
                <w:t>Exhibits</w:t>
              </w:r>
            </w:hyperlink>
          </w:p>
        </w:tc>
        <w:tc>
          <w:tcPr>
            <w:tcW w:w="8300" w:type="dxa"/>
            <w:vAlign w:val="bottom"/>
            <w:gridSpan w:val="24"/>
          </w:tcPr>
          <w:p>
            <w:pPr>
              <w:spacing w:after="0"/>
              <w:rPr>
                <w:sz w:val="18"/>
                <w:szCs w:val="18"/>
                <w:color w:val="auto"/>
              </w:rPr>
            </w:pPr>
          </w:p>
        </w:tc>
        <w:tc>
          <w:tcPr>
            <w:tcW w:w="900" w:type="dxa"/>
            <w:vAlign w:val="bottom"/>
          </w:tcPr>
          <w:p>
            <w:pPr>
              <w:jc w:val="right"/>
              <w:spacing w:after="0"/>
              <w:rPr>
                <w:rFonts w:ascii="Arial" w:cs="Arial" w:eastAsia="Arial" w:hAnsi="Arial"/>
                <w:sz w:val="18"/>
                <w:szCs w:val="18"/>
                <w:color w:val="auto"/>
              </w:rPr>
            </w:pPr>
            <w:hyperlink w:anchor="page35">
              <w:r>
                <w:rPr>
                  <w:rFonts w:ascii="Arial" w:cs="Arial" w:eastAsia="Arial" w:hAnsi="Arial"/>
                  <w:sz w:val="18"/>
                  <w:szCs w:val="18"/>
                  <w:color w:val="auto"/>
                </w:rPr>
                <w:t>35</w:t>
              </w:r>
            </w:hyperlink>
          </w:p>
        </w:tc>
      </w:tr>
      <w:tr>
        <w:trPr>
          <w:trHeight w:val="20"/>
        </w:trPr>
        <w:tc>
          <w:tcPr>
            <w:tcW w:w="400" w:type="dxa"/>
            <w:vAlign w:val="bottom"/>
          </w:tcPr>
          <w:p>
            <w:pPr>
              <w:spacing w:after="0" w:line="20" w:lineRule="exact"/>
              <w:rPr>
                <w:sz w:val="1"/>
                <w:szCs w:val="1"/>
                <w:color w:val="auto"/>
              </w:rPr>
            </w:pPr>
          </w:p>
        </w:tc>
        <w:tc>
          <w:tcPr>
            <w:tcW w:w="600" w:type="dxa"/>
            <w:vAlign w:val="bottom"/>
            <w:gridSpan w:val="2"/>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80" w:type="dxa"/>
            <w:vAlign w:val="bottom"/>
            <w:gridSpan w:val="26"/>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r>
        <w:trPr>
          <w:trHeight w:val="210"/>
        </w:trPr>
        <w:tc>
          <w:tcPr>
            <w:tcW w:w="400" w:type="dxa"/>
            <w:vAlign w:val="bottom"/>
          </w:tcPr>
          <w:p>
            <w:pPr>
              <w:spacing w:after="0"/>
              <w:rPr>
                <w:sz w:val="18"/>
                <w:szCs w:val="18"/>
                <w:color w:val="auto"/>
              </w:rPr>
            </w:pPr>
          </w:p>
        </w:tc>
        <w:tc>
          <w:tcPr>
            <w:tcW w:w="9640" w:type="dxa"/>
            <w:vAlign w:val="bottom"/>
            <w:gridSpan w:val="29"/>
          </w:tcPr>
          <w:p>
            <w:pPr>
              <w:spacing w:after="0"/>
              <w:rPr>
                <w:rFonts w:ascii="Arial" w:cs="Arial" w:eastAsia="Arial" w:hAnsi="Arial"/>
                <w:sz w:val="18"/>
                <w:szCs w:val="18"/>
                <w:color w:val="0000FF"/>
              </w:rPr>
            </w:pPr>
            <w:hyperlink w:anchor="page36">
              <w:r>
                <w:rPr>
                  <w:rFonts w:ascii="Arial" w:cs="Arial" w:eastAsia="Arial" w:hAnsi="Arial"/>
                  <w:sz w:val="18"/>
                  <w:szCs w:val="18"/>
                  <w:color w:val="0000FF"/>
                </w:rPr>
                <w:t>Signatures</w:t>
              </w:r>
            </w:hyperlink>
          </w:p>
        </w:tc>
        <w:tc>
          <w:tcPr>
            <w:tcW w:w="900" w:type="dxa"/>
            <w:vAlign w:val="bottom"/>
          </w:tcPr>
          <w:p>
            <w:pPr>
              <w:jc w:val="right"/>
              <w:spacing w:after="0"/>
              <w:rPr>
                <w:rFonts w:ascii="Arial" w:cs="Arial" w:eastAsia="Arial" w:hAnsi="Arial"/>
                <w:sz w:val="18"/>
                <w:szCs w:val="18"/>
                <w:color w:val="auto"/>
              </w:rPr>
            </w:pPr>
            <w:hyperlink w:anchor="page36">
              <w:r>
                <w:rPr>
                  <w:rFonts w:ascii="Arial" w:cs="Arial" w:eastAsia="Arial" w:hAnsi="Arial"/>
                  <w:sz w:val="18"/>
                  <w:szCs w:val="18"/>
                  <w:color w:val="auto"/>
                </w:rPr>
                <w:t>36</w:t>
              </w:r>
            </w:hyperlink>
          </w:p>
        </w:tc>
      </w:tr>
      <w:tr>
        <w:trPr>
          <w:trHeight w:val="20"/>
        </w:trPr>
        <w:tc>
          <w:tcPr>
            <w:tcW w:w="400" w:type="dxa"/>
            <w:vAlign w:val="bottom"/>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r>
    </w:tbl>
    <w:p>
      <w:pPr>
        <w:spacing w:after="0" w:line="310"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i w:val="1"/>
          <w:iCs w:val="1"/>
          <w:color w:val="auto"/>
        </w:rPr>
        <w:t>Unless the context indicates otherwise, references to “Hess”, the “Corporation”, “Registrant”, “we”, “us”, “our” and “its” refer to the consolidated business operations of Hess Corporation and its subsidiaries.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678815</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891" w:right="359" w:bottom="1440" w:gutter="0" w:footer="0" w:header="0"/>
          <w:type w:val="continuous"/>
        </w:sectPr>
      </w:pPr>
    </w:p>
    <w:bookmarkStart w:id="2" w:name="page3"/>
    <w:bookmarkEnd w:id="2"/>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 (UNAUDITED)</w:t>
      </w:r>
    </w:p>
    <w:p>
      <w:pPr>
        <w:spacing w:after="0" w:line="10"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8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gridSpan w:val="2"/>
          </w:tcPr>
          <w:p>
            <w:pPr>
              <w:ind w:left="60"/>
              <w:spacing w:after="0"/>
              <w:rPr>
                <w:sz w:val="20"/>
                <w:szCs w:val="20"/>
                <w:color w:val="auto"/>
              </w:rPr>
            </w:pPr>
            <w:r>
              <w:rPr>
                <w:rFonts w:ascii="Arial" w:cs="Arial" w:eastAsia="Arial" w:hAnsi="Arial"/>
                <w:sz w:val="14"/>
                <w:szCs w:val="14"/>
                <w:b w:val="1"/>
                <w:bCs w:val="1"/>
                <w:color w:val="auto"/>
              </w:rPr>
              <w:t>September 30,</w:t>
            </w:r>
          </w:p>
        </w:tc>
        <w:tc>
          <w:tcPr>
            <w:tcW w:w="180" w:type="dxa"/>
            <w:vAlign w:val="bottom"/>
          </w:tcPr>
          <w:p>
            <w:pPr>
              <w:spacing w:after="0"/>
              <w:rPr>
                <w:sz w:val="14"/>
                <w:szCs w:val="14"/>
                <w:color w:val="auto"/>
              </w:rPr>
            </w:pPr>
          </w:p>
        </w:tc>
        <w:tc>
          <w:tcPr>
            <w:tcW w:w="1200" w:type="dxa"/>
            <w:vAlign w:val="bottom"/>
          </w:tcPr>
          <w:p>
            <w:pPr>
              <w:jc w:val="right"/>
              <w:ind w:right="179"/>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88"/>
        </w:trPr>
        <w:tc>
          <w:tcPr>
            <w:tcW w:w="83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60"/>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70"/>
        </w:trPr>
        <w:tc>
          <w:tcPr>
            <w:tcW w:w="83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680" w:type="dxa"/>
            <w:vAlign w:val="bottom"/>
            <w:gridSpan w:val="4"/>
          </w:tcPr>
          <w:p>
            <w:pPr>
              <w:jc w:val="right"/>
              <w:ind w:right="979"/>
              <w:spacing w:after="0"/>
              <w:rPr>
                <w:sz w:val="20"/>
                <w:szCs w:val="20"/>
                <w:color w:val="auto"/>
              </w:rPr>
            </w:pPr>
            <w:r>
              <w:rPr>
                <w:rFonts w:ascii="Arial" w:cs="Arial" w:eastAsia="Arial" w:hAnsi="Arial"/>
                <w:sz w:val="14"/>
                <w:szCs w:val="14"/>
                <w:b w:val="1"/>
                <w:bCs w:val="1"/>
                <w:color w:val="auto"/>
              </w:rPr>
              <w:t>(In millions,</w:t>
            </w:r>
          </w:p>
        </w:tc>
        <w:tc>
          <w:tcPr>
            <w:tcW w:w="0" w:type="dxa"/>
            <w:vAlign w:val="bottom"/>
          </w:tcPr>
          <w:p>
            <w:pPr>
              <w:spacing w:after="0"/>
              <w:rPr>
                <w:sz w:val="1"/>
                <w:szCs w:val="1"/>
                <w:color w:val="auto"/>
              </w:rPr>
            </w:pPr>
          </w:p>
        </w:tc>
      </w:tr>
      <w:tr>
        <w:trPr>
          <w:trHeight w:val="186"/>
        </w:trPr>
        <w:tc>
          <w:tcPr>
            <w:tcW w:w="83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680" w:type="dxa"/>
            <w:vAlign w:val="bottom"/>
            <w:gridSpan w:val="4"/>
          </w:tcPr>
          <w:p>
            <w:pPr>
              <w:jc w:val="right"/>
              <w:ind w:right="659"/>
              <w:spacing w:after="0"/>
              <w:rPr>
                <w:sz w:val="20"/>
                <w:szCs w:val="20"/>
                <w:color w:val="auto"/>
              </w:rPr>
            </w:pPr>
            <w:r>
              <w:rPr>
                <w:rFonts w:ascii="Arial" w:cs="Arial" w:eastAsia="Arial" w:hAnsi="Arial"/>
                <w:sz w:val="14"/>
                <w:szCs w:val="14"/>
                <w:b w:val="1"/>
                <w:bCs w:val="1"/>
                <w:color w:val="auto"/>
              </w:rPr>
              <w:t>except share amounts)</w:t>
            </w:r>
          </w:p>
        </w:tc>
        <w:tc>
          <w:tcPr>
            <w:tcW w:w="0" w:type="dxa"/>
            <w:vAlign w:val="bottom"/>
          </w:tcPr>
          <w:p>
            <w:pPr>
              <w:spacing w:after="0"/>
              <w:rPr>
                <w:sz w:val="1"/>
                <w:szCs w:val="1"/>
                <w:color w:val="auto"/>
              </w:rPr>
            </w:pPr>
          </w:p>
        </w:tc>
      </w:tr>
      <w:tr>
        <w:trPr>
          <w:trHeight w:val="213"/>
        </w:trPr>
        <w:tc>
          <w:tcPr>
            <w:tcW w:w="8360" w:type="dxa"/>
            <w:vAlign w:val="bottom"/>
          </w:tcPr>
          <w:p>
            <w:pPr>
              <w:spacing w:after="0"/>
              <w:rPr>
                <w:sz w:val="20"/>
                <w:szCs w:val="20"/>
                <w:color w:val="auto"/>
              </w:rPr>
            </w:pPr>
            <w:r>
              <w:rPr>
                <w:rFonts w:ascii="Arial" w:cs="Arial" w:eastAsia="Arial" w:hAnsi="Arial"/>
                <w:sz w:val="16"/>
                <w:szCs w:val="16"/>
                <w:b w:val="1"/>
                <w:bCs w:val="1"/>
                <w:color w:val="auto"/>
              </w:rPr>
              <w:t>Assets</w:t>
            </w: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360" w:type="dxa"/>
            <w:vAlign w:val="bottom"/>
          </w:tcPr>
          <w:p>
            <w:pPr>
              <w:ind w:left="120"/>
              <w:spacing w:after="0"/>
              <w:rPr>
                <w:sz w:val="20"/>
                <w:szCs w:val="20"/>
                <w:color w:val="auto"/>
              </w:rPr>
            </w:pPr>
            <w:r>
              <w:rPr>
                <w:rFonts w:ascii="Arial" w:cs="Arial" w:eastAsia="Arial" w:hAnsi="Arial"/>
                <w:sz w:val="16"/>
                <w:szCs w:val="16"/>
                <w:color w:val="auto"/>
              </w:rPr>
              <w:t>Current Assets:</w:t>
            </w: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360" w:type="dxa"/>
            <w:vAlign w:val="bottom"/>
          </w:tcPr>
          <w:p>
            <w:pPr>
              <w:ind w:left="200"/>
              <w:spacing w:after="0"/>
              <w:rPr>
                <w:sz w:val="20"/>
                <w:szCs w:val="20"/>
                <w:color w:val="auto"/>
              </w:rPr>
            </w:pPr>
            <w:r>
              <w:rPr>
                <w:rFonts w:ascii="Arial" w:cs="Arial" w:eastAsia="Arial" w:hAnsi="Arial"/>
                <w:sz w:val="16"/>
                <w:szCs w:val="16"/>
                <w:color w:val="auto"/>
              </w:rPr>
              <w:t>Cash and cash equivalents</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2,419</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1,739</w:t>
            </w:r>
          </w:p>
        </w:tc>
        <w:tc>
          <w:tcPr>
            <w:tcW w:w="0" w:type="dxa"/>
            <w:vAlign w:val="bottom"/>
          </w:tcPr>
          <w:p>
            <w:pPr>
              <w:spacing w:after="0"/>
              <w:rPr>
                <w:sz w:val="1"/>
                <w:szCs w:val="1"/>
                <w:color w:val="auto"/>
              </w:rPr>
            </w:pPr>
          </w:p>
        </w:tc>
      </w:tr>
      <w:tr>
        <w:trPr>
          <w:trHeight w:val="216"/>
        </w:trPr>
        <w:tc>
          <w:tcPr>
            <w:tcW w:w="8360" w:type="dxa"/>
            <w:vAlign w:val="bottom"/>
          </w:tcPr>
          <w:p>
            <w:pPr>
              <w:ind w:left="200"/>
              <w:spacing w:after="0"/>
              <w:rPr>
                <w:sz w:val="20"/>
                <w:szCs w:val="20"/>
                <w:color w:val="auto"/>
              </w:rPr>
            </w:pPr>
            <w:r>
              <w:rPr>
                <w:rFonts w:ascii="Arial" w:cs="Arial" w:eastAsia="Arial" w:hAnsi="Arial"/>
                <w:sz w:val="16"/>
                <w:szCs w:val="16"/>
                <w:color w:val="auto"/>
              </w:rPr>
              <w:t>Accounts receivable:</w:t>
            </w: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360" w:type="dxa"/>
            <w:vAlign w:val="bottom"/>
          </w:tcPr>
          <w:p>
            <w:pPr>
              <w:ind w:left="460"/>
              <w:spacing w:after="0"/>
              <w:rPr>
                <w:sz w:val="20"/>
                <w:szCs w:val="20"/>
                <w:color w:val="auto"/>
              </w:rPr>
            </w:pPr>
            <w:r>
              <w:rPr>
                <w:rFonts w:ascii="Arial" w:cs="Arial" w:eastAsia="Arial" w:hAnsi="Arial"/>
                <w:sz w:val="16"/>
                <w:szCs w:val="16"/>
                <w:color w:val="auto"/>
              </w:rPr>
              <w:t>From contracts with customers</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930</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710</w:t>
            </w:r>
          </w:p>
        </w:tc>
        <w:tc>
          <w:tcPr>
            <w:tcW w:w="0" w:type="dxa"/>
            <w:vAlign w:val="bottom"/>
          </w:tcPr>
          <w:p>
            <w:pPr>
              <w:spacing w:after="0"/>
              <w:rPr>
                <w:sz w:val="1"/>
                <w:szCs w:val="1"/>
                <w:color w:val="auto"/>
              </w:rPr>
            </w:pPr>
          </w:p>
        </w:tc>
      </w:tr>
      <w:tr>
        <w:trPr>
          <w:trHeight w:val="216"/>
        </w:trPr>
        <w:tc>
          <w:tcPr>
            <w:tcW w:w="8360" w:type="dxa"/>
            <w:vAlign w:val="bottom"/>
          </w:tcPr>
          <w:p>
            <w:pPr>
              <w:ind w:left="460"/>
              <w:spacing w:after="0"/>
              <w:rPr>
                <w:sz w:val="20"/>
                <w:szCs w:val="20"/>
                <w:color w:val="auto"/>
              </w:rPr>
            </w:pPr>
            <w:r>
              <w:rPr>
                <w:rFonts w:ascii="Arial" w:cs="Arial" w:eastAsia="Arial" w:hAnsi="Arial"/>
                <w:sz w:val="16"/>
                <w:szCs w:val="16"/>
                <w:color w:val="auto"/>
              </w:rPr>
              <w:t>Joint venture and other</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164</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150</w:t>
            </w:r>
          </w:p>
        </w:tc>
        <w:tc>
          <w:tcPr>
            <w:tcW w:w="0" w:type="dxa"/>
            <w:vAlign w:val="bottom"/>
          </w:tcPr>
          <w:p>
            <w:pPr>
              <w:spacing w:after="0"/>
              <w:rPr>
                <w:sz w:val="1"/>
                <w:szCs w:val="1"/>
                <w:color w:val="auto"/>
              </w:rPr>
            </w:pPr>
          </w:p>
        </w:tc>
      </w:tr>
      <w:tr>
        <w:trPr>
          <w:trHeight w:val="216"/>
        </w:trPr>
        <w:tc>
          <w:tcPr>
            <w:tcW w:w="8360" w:type="dxa"/>
            <w:vAlign w:val="bottom"/>
          </w:tcPr>
          <w:p>
            <w:pPr>
              <w:ind w:left="200"/>
              <w:spacing w:after="0"/>
              <w:rPr>
                <w:sz w:val="20"/>
                <w:szCs w:val="20"/>
                <w:color w:val="auto"/>
              </w:rPr>
            </w:pPr>
            <w:r>
              <w:rPr>
                <w:rFonts w:ascii="Arial" w:cs="Arial" w:eastAsia="Arial" w:hAnsi="Arial"/>
                <w:sz w:val="16"/>
                <w:szCs w:val="16"/>
                <w:color w:val="auto"/>
              </w:rPr>
              <w:t>Inventories</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262</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378</w:t>
            </w:r>
          </w:p>
        </w:tc>
        <w:tc>
          <w:tcPr>
            <w:tcW w:w="0" w:type="dxa"/>
            <w:vAlign w:val="bottom"/>
          </w:tcPr>
          <w:p>
            <w:pPr>
              <w:spacing w:after="0"/>
              <w:rPr>
                <w:sz w:val="1"/>
                <w:szCs w:val="1"/>
                <w:color w:val="auto"/>
              </w:rPr>
            </w:pPr>
          </w:p>
        </w:tc>
      </w:tr>
      <w:tr>
        <w:trPr>
          <w:trHeight w:val="216"/>
        </w:trPr>
        <w:tc>
          <w:tcPr>
            <w:tcW w:w="8360" w:type="dxa"/>
            <w:vAlign w:val="bottom"/>
          </w:tcPr>
          <w:p>
            <w:pPr>
              <w:ind w:left="200"/>
              <w:spacing w:after="0"/>
              <w:rPr>
                <w:sz w:val="20"/>
                <w:szCs w:val="20"/>
                <w:color w:val="auto"/>
              </w:rPr>
            </w:pPr>
            <w:r>
              <w:rPr>
                <w:rFonts w:ascii="Arial" w:cs="Arial" w:eastAsia="Arial" w:hAnsi="Arial"/>
                <w:sz w:val="16"/>
                <w:szCs w:val="16"/>
                <w:color w:val="auto"/>
              </w:rPr>
              <w:t>Other current assets</w:t>
            </w: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117</w:t>
            </w: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104</w:t>
            </w:r>
          </w:p>
        </w:tc>
        <w:tc>
          <w:tcPr>
            <w:tcW w:w="0" w:type="dxa"/>
            <w:vAlign w:val="bottom"/>
          </w:tcPr>
          <w:p>
            <w:pPr>
              <w:spacing w:after="0"/>
              <w:rPr>
                <w:sz w:val="1"/>
                <w:szCs w:val="1"/>
                <w:color w:val="auto"/>
              </w:rPr>
            </w:pPr>
          </w:p>
        </w:tc>
      </w:tr>
      <w:tr>
        <w:trPr>
          <w:trHeight w:val="209"/>
        </w:trPr>
        <w:tc>
          <w:tcPr>
            <w:tcW w:w="8360" w:type="dxa"/>
            <w:vAlign w:val="bottom"/>
          </w:tcPr>
          <w:p>
            <w:pPr>
              <w:ind w:left="660"/>
              <w:spacing w:after="0"/>
              <w:rPr>
                <w:sz w:val="20"/>
                <w:szCs w:val="20"/>
                <w:color w:val="auto"/>
              </w:rPr>
            </w:pPr>
            <w:r>
              <w:rPr>
                <w:rFonts w:ascii="Arial" w:cs="Arial" w:eastAsia="Arial" w:hAnsi="Arial"/>
                <w:sz w:val="16"/>
                <w:szCs w:val="16"/>
                <w:color w:val="auto"/>
              </w:rPr>
              <w:t>Total current assets</w:t>
            </w: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3,892</w:t>
            </w: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3,081</w:t>
            </w:r>
          </w:p>
        </w:tc>
        <w:tc>
          <w:tcPr>
            <w:tcW w:w="0" w:type="dxa"/>
            <w:vAlign w:val="bottom"/>
          </w:tcPr>
          <w:p>
            <w:pPr>
              <w:spacing w:after="0"/>
              <w:rPr>
                <w:sz w:val="1"/>
                <w:szCs w:val="1"/>
                <w:color w:val="auto"/>
              </w:rPr>
            </w:pPr>
          </w:p>
        </w:tc>
      </w:tr>
      <w:tr>
        <w:trPr>
          <w:trHeight w:val="196"/>
        </w:trPr>
        <w:tc>
          <w:tcPr>
            <w:tcW w:w="8360" w:type="dxa"/>
            <w:vAlign w:val="bottom"/>
          </w:tcPr>
          <w:p>
            <w:pPr>
              <w:ind w:left="120"/>
              <w:spacing w:after="0"/>
              <w:rPr>
                <w:sz w:val="20"/>
                <w:szCs w:val="20"/>
                <w:color w:val="auto"/>
              </w:rPr>
            </w:pPr>
            <w:r>
              <w:rPr>
                <w:rFonts w:ascii="Arial" w:cs="Arial" w:eastAsia="Arial" w:hAnsi="Arial"/>
                <w:sz w:val="16"/>
                <w:szCs w:val="16"/>
                <w:color w:val="auto"/>
              </w:rPr>
              <w:t>Property, plant and equipment:</w:t>
            </w: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360" w:type="dxa"/>
            <w:vAlign w:val="bottom"/>
          </w:tcPr>
          <w:p>
            <w:pPr>
              <w:ind w:left="200"/>
              <w:spacing w:after="0"/>
              <w:rPr>
                <w:sz w:val="20"/>
                <w:szCs w:val="20"/>
                <w:color w:val="auto"/>
              </w:rPr>
            </w:pPr>
            <w:r>
              <w:rPr>
                <w:rFonts w:ascii="Arial" w:cs="Arial" w:eastAsia="Arial" w:hAnsi="Arial"/>
                <w:sz w:val="16"/>
                <w:szCs w:val="16"/>
                <w:color w:val="auto"/>
              </w:rPr>
              <w:t>Total — at cost</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30,560</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30,519</w:t>
            </w:r>
          </w:p>
        </w:tc>
        <w:tc>
          <w:tcPr>
            <w:tcW w:w="0" w:type="dxa"/>
            <w:vAlign w:val="bottom"/>
          </w:tcPr>
          <w:p>
            <w:pPr>
              <w:spacing w:after="0"/>
              <w:rPr>
                <w:sz w:val="1"/>
                <w:szCs w:val="1"/>
                <w:color w:val="auto"/>
              </w:rPr>
            </w:pPr>
          </w:p>
        </w:tc>
      </w:tr>
      <w:tr>
        <w:trPr>
          <w:trHeight w:val="216"/>
        </w:trPr>
        <w:tc>
          <w:tcPr>
            <w:tcW w:w="8360" w:type="dxa"/>
            <w:vAlign w:val="bottom"/>
          </w:tcPr>
          <w:p>
            <w:pPr>
              <w:ind w:left="200"/>
              <w:spacing w:after="0"/>
              <w:rPr>
                <w:sz w:val="20"/>
                <w:szCs w:val="20"/>
                <w:color w:val="auto"/>
              </w:rPr>
            </w:pPr>
            <w:r>
              <w:rPr>
                <w:rFonts w:ascii="Arial" w:cs="Arial" w:eastAsia="Arial" w:hAnsi="Arial"/>
                <w:sz w:val="16"/>
                <w:szCs w:val="16"/>
                <w:color w:val="auto"/>
              </w:rPr>
              <w:t>Less: Reserves for depreciation, depletion, amortization and lease impairment</w:t>
            </w: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16,606</w:t>
            </w: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16,404</w:t>
            </w:r>
          </w:p>
        </w:tc>
        <w:tc>
          <w:tcPr>
            <w:tcW w:w="0" w:type="dxa"/>
            <w:vAlign w:val="bottom"/>
          </w:tcPr>
          <w:p>
            <w:pPr>
              <w:spacing w:after="0"/>
              <w:rPr>
                <w:sz w:val="1"/>
                <w:szCs w:val="1"/>
                <w:color w:val="auto"/>
              </w:rPr>
            </w:pPr>
          </w:p>
        </w:tc>
      </w:tr>
      <w:tr>
        <w:trPr>
          <w:trHeight w:val="209"/>
        </w:trPr>
        <w:tc>
          <w:tcPr>
            <w:tcW w:w="8360" w:type="dxa"/>
            <w:vAlign w:val="bottom"/>
          </w:tcPr>
          <w:p>
            <w:pPr>
              <w:ind w:left="660"/>
              <w:spacing w:after="0"/>
              <w:rPr>
                <w:sz w:val="20"/>
                <w:szCs w:val="20"/>
                <w:color w:val="auto"/>
              </w:rPr>
            </w:pPr>
            <w:r>
              <w:rPr>
                <w:rFonts w:ascii="Arial" w:cs="Arial" w:eastAsia="Arial" w:hAnsi="Arial"/>
                <w:sz w:val="16"/>
                <w:szCs w:val="16"/>
                <w:color w:val="auto"/>
              </w:rPr>
              <w:t>Property, plant and equipment — net</w:t>
            </w: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13,954</w:t>
            </w: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14,115</w:t>
            </w:r>
          </w:p>
        </w:tc>
        <w:tc>
          <w:tcPr>
            <w:tcW w:w="0" w:type="dxa"/>
            <w:vAlign w:val="bottom"/>
          </w:tcPr>
          <w:p>
            <w:pPr>
              <w:spacing w:after="0"/>
              <w:rPr>
                <w:sz w:val="1"/>
                <w:szCs w:val="1"/>
                <w:color w:val="auto"/>
              </w:rPr>
            </w:pPr>
          </w:p>
        </w:tc>
      </w:tr>
      <w:tr>
        <w:trPr>
          <w:trHeight w:val="209"/>
        </w:trPr>
        <w:tc>
          <w:tcPr>
            <w:tcW w:w="8360" w:type="dxa"/>
            <w:vAlign w:val="bottom"/>
          </w:tcPr>
          <w:p>
            <w:pPr>
              <w:ind w:left="120"/>
              <w:spacing w:after="0"/>
              <w:rPr>
                <w:sz w:val="20"/>
                <w:szCs w:val="20"/>
                <w:color w:val="auto"/>
              </w:rPr>
            </w:pPr>
            <w:r>
              <w:rPr>
                <w:rFonts w:ascii="Arial" w:cs="Arial" w:eastAsia="Arial" w:hAnsi="Arial"/>
                <w:sz w:val="16"/>
                <w:szCs w:val="16"/>
                <w:color w:val="auto"/>
              </w:rPr>
              <w:t>Operating lease right-of-use assets — net</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364</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426</w:t>
            </w:r>
          </w:p>
        </w:tc>
        <w:tc>
          <w:tcPr>
            <w:tcW w:w="0" w:type="dxa"/>
            <w:vAlign w:val="bottom"/>
          </w:tcPr>
          <w:p>
            <w:pPr>
              <w:spacing w:after="0"/>
              <w:rPr>
                <w:sz w:val="1"/>
                <w:szCs w:val="1"/>
                <w:color w:val="auto"/>
              </w:rPr>
            </w:pPr>
          </w:p>
        </w:tc>
      </w:tr>
      <w:tr>
        <w:trPr>
          <w:trHeight w:val="216"/>
        </w:trPr>
        <w:tc>
          <w:tcPr>
            <w:tcW w:w="8360" w:type="dxa"/>
            <w:vAlign w:val="bottom"/>
          </w:tcPr>
          <w:p>
            <w:pPr>
              <w:ind w:left="120"/>
              <w:spacing w:after="0"/>
              <w:rPr>
                <w:sz w:val="20"/>
                <w:szCs w:val="20"/>
                <w:color w:val="auto"/>
              </w:rPr>
            </w:pPr>
            <w:r>
              <w:rPr>
                <w:rFonts w:ascii="Arial" w:cs="Arial" w:eastAsia="Arial" w:hAnsi="Arial"/>
                <w:sz w:val="16"/>
                <w:szCs w:val="16"/>
                <w:color w:val="auto"/>
              </w:rPr>
              <w:t>Finance lease right-of-use assets — net</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150</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168</w:t>
            </w:r>
          </w:p>
        </w:tc>
        <w:tc>
          <w:tcPr>
            <w:tcW w:w="0" w:type="dxa"/>
            <w:vAlign w:val="bottom"/>
          </w:tcPr>
          <w:p>
            <w:pPr>
              <w:spacing w:after="0"/>
              <w:rPr>
                <w:sz w:val="1"/>
                <w:szCs w:val="1"/>
                <w:color w:val="auto"/>
              </w:rPr>
            </w:pPr>
          </w:p>
        </w:tc>
      </w:tr>
      <w:tr>
        <w:trPr>
          <w:trHeight w:val="216"/>
        </w:trPr>
        <w:tc>
          <w:tcPr>
            <w:tcW w:w="8360" w:type="dxa"/>
            <w:vAlign w:val="bottom"/>
          </w:tcPr>
          <w:p>
            <w:pPr>
              <w:ind w:left="120"/>
              <w:spacing w:after="0"/>
              <w:rPr>
                <w:sz w:val="20"/>
                <w:szCs w:val="20"/>
                <w:color w:val="auto"/>
              </w:rPr>
            </w:pPr>
            <w:r>
              <w:rPr>
                <w:rFonts w:ascii="Arial" w:cs="Arial" w:eastAsia="Arial" w:hAnsi="Arial"/>
                <w:sz w:val="16"/>
                <w:szCs w:val="16"/>
                <w:color w:val="auto"/>
              </w:rPr>
              <w:t>Goodwill</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360</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360</w:t>
            </w:r>
          </w:p>
        </w:tc>
        <w:tc>
          <w:tcPr>
            <w:tcW w:w="0" w:type="dxa"/>
            <w:vAlign w:val="bottom"/>
          </w:tcPr>
          <w:p>
            <w:pPr>
              <w:spacing w:after="0"/>
              <w:rPr>
                <w:sz w:val="1"/>
                <w:szCs w:val="1"/>
                <w:color w:val="auto"/>
              </w:rPr>
            </w:pPr>
          </w:p>
        </w:tc>
      </w:tr>
      <w:tr>
        <w:trPr>
          <w:trHeight w:val="216"/>
        </w:trPr>
        <w:tc>
          <w:tcPr>
            <w:tcW w:w="8360" w:type="dxa"/>
            <w:vAlign w:val="bottom"/>
          </w:tcPr>
          <w:p>
            <w:pPr>
              <w:ind w:left="120"/>
              <w:spacing w:after="0"/>
              <w:rPr>
                <w:sz w:val="20"/>
                <w:szCs w:val="20"/>
                <w:color w:val="auto"/>
              </w:rPr>
            </w:pPr>
            <w:r>
              <w:rPr>
                <w:rFonts w:ascii="Arial" w:cs="Arial" w:eastAsia="Arial" w:hAnsi="Arial"/>
                <w:sz w:val="16"/>
                <w:szCs w:val="16"/>
                <w:color w:val="auto"/>
              </w:rPr>
              <w:t>Deferred income taxes</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26</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59</w:t>
            </w:r>
          </w:p>
        </w:tc>
        <w:tc>
          <w:tcPr>
            <w:tcW w:w="0" w:type="dxa"/>
            <w:vAlign w:val="bottom"/>
          </w:tcPr>
          <w:p>
            <w:pPr>
              <w:spacing w:after="0"/>
              <w:rPr>
                <w:sz w:val="1"/>
                <w:szCs w:val="1"/>
                <w:color w:val="auto"/>
              </w:rPr>
            </w:pPr>
          </w:p>
        </w:tc>
      </w:tr>
      <w:tr>
        <w:trPr>
          <w:trHeight w:val="219"/>
        </w:trPr>
        <w:tc>
          <w:tcPr>
            <w:tcW w:w="8360" w:type="dxa"/>
            <w:vAlign w:val="bottom"/>
          </w:tcPr>
          <w:p>
            <w:pPr>
              <w:ind w:left="120"/>
              <w:spacing w:after="0"/>
              <w:rPr>
                <w:sz w:val="20"/>
                <w:szCs w:val="20"/>
                <w:color w:val="auto"/>
              </w:rPr>
            </w:pPr>
            <w:r>
              <w:rPr>
                <w:rFonts w:ascii="Arial" w:cs="Arial" w:eastAsia="Arial" w:hAnsi="Arial"/>
                <w:sz w:val="16"/>
                <w:szCs w:val="16"/>
                <w:color w:val="auto"/>
              </w:rPr>
              <w:t>Other assets</w:t>
            </w: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744</w:t>
            </w:r>
          </w:p>
        </w:tc>
        <w:tc>
          <w:tcPr>
            <w:tcW w:w="1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612</w:t>
            </w:r>
          </w:p>
        </w:tc>
        <w:tc>
          <w:tcPr>
            <w:tcW w:w="0" w:type="dxa"/>
            <w:vAlign w:val="bottom"/>
          </w:tcPr>
          <w:p>
            <w:pPr>
              <w:spacing w:after="0"/>
              <w:rPr>
                <w:sz w:val="1"/>
                <w:szCs w:val="1"/>
                <w:color w:val="auto"/>
              </w:rPr>
            </w:pPr>
          </w:p>
        </w:tc>
      </w:tr>
      <w:tr>
        <w:trPr>
          <w:trHeight w:val="213"/>
        </w:trPr>
        <w:tc>
          <w:tcPr>
            <w:tcW w:w="8360" w:type="dxa"/>
            <w:vAlign w:val="bottom"/>
          </w:tcPr>
          <w:p>
            <w:pPr>
              <w:ind w:left="980"/>
              <w:spacing w:after="0"/>
              <w:rPr>
                <w:sz w:val="20"/>
                <w:szCs w:val="20"/>
                <w:color w:val="auto"/>
              </w:rPr>
            </w:pPr>
            <w:r>
              <w:rPr>
                <w:rFonts w:ascii="Arial" w:cs="Arial" w:eastAsia="Arial" w:hAnsi="Arial"/>
                <w:sz w:val="16"/>
                <w:szCs w:val="16"/>
                <w:b w:val="1"/>
                <w:bCs w:val="1"/>
                <w:color w:val="auto"/>
              </w:rPr>
              <w:t>Total Assets</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19,490</w:t>
            </w:r>
          </w:p>
        </w:tc>
        <w:tc>
          <w:tcPr>
            <w:tcW w:w="10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18,821</w:t>
            </w:r>
          </w:p>
        </w:tc>
        <w:tc>
          <w:tcPr>
            <w:tcW w:w="0" w:type="dxa"/>
            <w:vAlign w:val="bottom"/>
          </w:tcPr>
          <w:p>
            <w:pPr>
              <w:spacing w:after="0"/>
              <w:rPr>
                <w:sz w:val="1"/>
                <w:szCs w:val="1"/>
                <w:color w:val="auto"/>
              </w:rPr>
            </w:pPr>
          </w:p>
        </w:tc>
      </w:tr>
      <w:tr>
        <w:trPr>
          <w:trHeight w:val="21"/>
        </w:trPr>
        <w:tc>
          <w:tcPr>
            <w:tcW w:w="8360" w:type="dxa"/>
            <w:vAlign w:val="bottom"/>
            <w:vMerge w:val="restart"/>
          </w:tcPr>
          <w:p>
            <w:pPr>
              <w:spacing w:after="0"/>
              <w:rPr>
                <w:sz w:val="20"/>
                <w:szCs w:val="20"/>
                <w:color w:val="auto"/>
              </w:rPr>
            </w:pPr>
            <w:r>
              <w:rPr>
                <w:rFonts w:ascii="Arial" w:cs="Arial" w:eastAsia="Arial" w:hAnsi="Arial"/>
                <w:sz w:val="16"/>
                <w:szCs w:val="16"/>
                <w:b w:val="1"/>
                <w:bCs w:val="1"/>
                <w:color w:val="auto"/>
              </w:rPr>
              <w:t>Liabilities</w:t>
            </w: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6"/>
        </w:trPr>
        <w:tc>
          <w:tcPr>
            <w:tcW w:w="8360" w:type="dxa"/>
            <w:vAlign w:val="bottom"/>
            <w:vMerge w:val="continue"/>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8360" w:type="dxa"/>
            <w:vAlign w:val="bottom"/>
          </w:tcPr>
          <w:p>
            <w:pPr>
              <w:ind w:left="120"/>
              <w:spacing w:after="0"/>
              <w:rPr>
                <w:sz w:val="20"/>
                <w:szCs w:val="20"/>
                <w:color w:val="auto"/>
              </w:rPr>
            </w:pPr>
            <w:r>
              <w:rPr>
                <w:rFonts w:ascii="Arial" w:cs="Arial" w:eastAsia="Arial" w:hAnsi="Arial"/>
                <w:sz w:val="16"/>
                <w:szCs w:val="16"/>
                <w:color w:val="auto"/>
              </w:rPr>
              <w:t>Current Liabilities:</w:t>
            </w: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360" w:type="dxa"/>
            <w:vAlign w:val="bottom"/>
          </w:tcPr>
          <w:p>
            <w:pPr>
              <w:ind w:left="200"/>
              <w:spacing w:after="0"/>
              <w:rPr>
                <w:sz w:val="20"/>
                <w:szCs w:val="20"/>
                <w:color w:val="auto"/>
              </w:rPr>
            </w:pPr>
            <w:r>
              <w:rPr>
                <w:rFonts w:ascii="Arial" w:cs="Arial" w:eastAsia="Arial" w:hAnsi="Arial"/>
                <w:sz w:val="16"/>
                <w:szCs w:val="16"/>
                <w:color w:val="auto"/>
              </w:rPr>
              <w:t>Accounts payable</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210</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200</w:t>
            </w:r>
          </w:p>
        </w:tc>
        <w:tc>
          <w:tcPr>
            <w:tcW w:w="0" w:type="dxa"/>
            <w:vAlign w:val="bottom"/>
          </w:tcPr>
          <w:p>
            <w:pPr>
              <w:spacing w:after="0"/>
              <w:rPr>
                <w:sz w:val="1"/>
                <w:szCs w:val="1"/>
                <w:color w:val="auto"/>
              </w:rPr>
            </w:pPr>
          </w:p>
        </w:tc>
      </w:tr>
      <w:tr>
        <w:trPr>
          <w:trHeight w:val="216"/>
        </w:trPr>
        <w:tc>
          <w:tcPr>
            <w:tcW w:w="8360" w:type="dxa"/>
            <w:vAlign w:val="bottom"/>
          </w:tcPr>
          <w:p>
            <w:pPr>
              <w:ind w:left="200"/>
              <w:spacing w:after="0"/>
              <w:rPr>
                <w:sz w:val="20"/>
                <w:szCs w:val="20"/>
                <w:color w:val="auto"/>
              </w:rPr>
            </w:pPr>
            <w:r>
              <w:rPr>
                <w:rFonts w:ascii="Arial" w:cs="Arial" w:eastAsia="Arial" w:hAnsi="Arial"/>
                <w:sz w:val="16"/>
                <w:szCs w:val="16"/>
                <w:color w:val="auto"/>
              </w:rPr>
              <w:t>Accrued liabilities</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1,578</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1,251</w:t>
            </w:r>
          </w:p>
        </w:tc>
        <w:tc>
          <w:tcPr>
            <w:tcW w:w="0" w:type="dxa"/>
            <w:vAlign w:val="bottom"/>
          </w:tcPr>
          <w:p>
            <w:pPr>
              <w:spacing w:after="0"/>
              <w:rPr>
                <w:sz w:val="1"/>
                <w:szCs w:val="1"/>
                <w:color w:val="auto"/>
              </w:rPr>
            </w:pPr>
          </w:p>
        </w:tc>
      </w:tr>
      <w:tr>
        <w:trPr>
          <w:trHeight w:val="216"/>
        </w:trPr>
        <w:tc>
          <w:tcPr>
            <w:tcW w:w="8360" w:type="dxa"/>
            <w:vAlign w:val="bottom"/>
          </w:tcPr>
          <w:p>
            <w:pPr>
              <w:ind w:left="200"/>
              <w:spacing w:after="0"/>
              <w:rPr>
                <w:sz w:val="20"/>
                <w:szCs w:val="20"/>
                <w:color w:val="auto"/>
              </w:rPr>
            </w:pPr>
            <w:r>
              <w:rPr>
                <w:rFonts w:ascii="Arial" w:cs="Arial" w:eastAsia="Arial" w:hAnsi="Arial"/>
                <w:sz w:val="16"/>
                <w:szCs w:val="16"/>
                <w:color w:val="auto"/>
              </w:rPr>
              <w:t>Taxes payable</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359</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81</w:t>
            </w:r>
          </w:p>
        </w:tc>
        <w:tc>
          <w:tcPr>
            <w:tcW w:w="0" w:type="dxa"/>
            <w:vAlign w:val="bottom"/>
          </w:tcPr>
          <w:p>
            <w:pPr>
              <w:spacing w:after="0"/>
              <w:rPr>
                <w:sz w:val="1"/>
                <w:szCs w:val="1"/>
                <w:color w:val="auto"/>
              </w:rPr>
            </w:pPr>
          </w:p>
        </w:tc>
      </w:tr>
      <w:tr>
        <w:trPr>
          <w:trHeight w:val="216"/>
        </w:trPr>
        <w:tc>
          <w:tcPr>
            <w:tcW w:w="8360" w:type="dxa"/>
            <w:vAlign w:val="bottom"/>
          </w:tcPr>
          <w:p>
            <w:pPr>
              <w:ind w:left="200"/>
              <w:spacing w:after="0"/>
              <w:rPr>
                <w:sz w:val="20"/>
                <w:szCs w:val="20"/>
                <w:color w:val="auto"/>
              </w:rPr>
            </w:pPr>
            <w:r>
              <w:rPr>
                <w:rFonts w:ascii="Arial" w:cs="Arial" w:eastAsia="Arial" w:hAnsi="Arial"/>
                <w:sz w:val="16"/>
                <w:szCs w:val="16"/>
                <w:color w:val="auto"/>
              </w:rPr>
              <w:t>Current portion of long-term debt</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514</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10</w:t>
            </w:r>
          </w:p>
        </w:tc>
        <w:tc>
          <w:tcPr>
            <w:tcW w:w="0" w:type="dxa"/>
            <w:vAlign w:val="bottom"/>
          </w:tcPr>
          <w:p>
            <w:pPr>
              <w:spacing w:after="0"/>
              <w:rPr>
                <w:sz w:val="1"/>
                <w:szCs w:val="1"/>
                <w:color w:val="auto"/>
              </w:rPr>
            </w:pPr>
          </w:p>
        </w:tc>
      </w:tr>
      <w:tr>
        <w:trPr>
          <w:trHeight w:val="216"/>
        </w:trPr>
        <w:tc>
          <w:tcPr>
            <w:tcW w:w="8360" w:type="dxa"/>
            <w:vAlign w:val="bottom"/>
          </w:tcPr>
          <w:p>
            <w:pPr>
              <w:ind w:left="200"/>
              <w:spacing w:after="0"/>
              <w:rPr>
                <w:sz w:val="20"/>
                <w:szCs w:val="20"/>
                <w:color w:val="auto"/>
              </w:rPr>
            </w:pPr>
            <w:r>
              <w:rPr>
                <w:rFonts w:ascii="Arial" w:cs="Arial" w:eastAsia="Arial" w:hAnsi="Arial"/>
                <w:sz w:val="16"/>
                <w:szCs w:val="16"/>
                <w:color w:val="auto"/>
              </w:rPr>
              <w:t>Current portion of operating and finance lease obligations</w:t>
            </w: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88</w:t>
            </w: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81</w:t>
            </w:r>
          </w:p>
        </w:tc>
        <w:tc>
          <w:tcPr>
            <w:tcW w:w="0" w:type="dxa"/>
            <w:vAlign w:val="bottom"/>
          </w:tcPr>
          <w:p>
            <w:pPr>
              <w:spacing w:after="0"/>
              <w:rPr>
                <w:sz w:val="1"/>
                <w:szCs w:val="1"/>
                <w:color w:val="auto"/>
              </w:rPr>
            </w:pPr>
          </w:p>
        </w:tc>
      </w:tr>
      <w:tr>
        <w:trPr>
          <w:trHeight w:val="210"/>
        </w:trPr>
        <w:tc>
          <w:tcPr>
            <w:tcW w:w="8360" w:type="dxa"/>
            <w:vAlign w:val="bottom"/>
          </w:tcPr>
          <w:p>
            <w:pPr>
              <w:ind w:left="540"/>
              <w:spacing w:after="0"/>
              <w:rPr>
                <w:sz w:val="20"/>
                <w:szCs w:val="20"/>
                <w:color w:val="auto"/>
              </w:rPr>
            </w:pPr>
            <w:r>
              <w:rPr>
                <w:rFonts w:ascii="Arial" w:cs="Arial" w:eastAsia="Arial" w:hAnsi="Arial"/>
                <w:sz w:val="16"/>
                <w:szCs w:val="16"/>
                <w:color w:val="auto"/>
              </w:rPr>
              <w:t>Total current liabilities</w:t>
            </w: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2,749</w:t>
            </w: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1,623</w:t>
            </w:r>
          </w:p>
        </w:tc>
        <w:tc>
          <w:tcPr>
            <w:tcW w:w="0" w:type="dxa"/>
            <w:vAlign w:val="bottom"/>
          </w:tcPr>
          <w:p>
            <w:pPr>
              <w:spacing w:after="0"/>
              <w:rPr>
                <w:sz w:val="1"/>
                <w:szCs w:val="1"/>
                <w:color w:val="auto"/>
              </w:rPr>
            </w:pPr>
          </w:p>
        </w:tc>
      </w:tr>
      <w:tr>
        <w:trPr>
          <w:trHeight w:val="210"/>
        </w:trPr>
        <w:tc>
          <w:tcPr>
            <w:tcW w:w="8360" w:type="dxa"/>
            <w:vAlign w:val="bottom"/>
          </w:tcPr>
          <w:p>
            <w:pPr>
              <w:ind w:left="120"/>
              <w:spacing w:after="0"/>
              <w:rPr>
                <w:sz w:val="20"/>
                <w:szCs w:val="20"/>
                <w:color w:val="auto"/>
              </w:rPr>
            </w:pPr>
            <w:r>
              <w:rPr>
                <w:rFonts w:ascii="Arial" w:cs="Arial" w:eastAsia="Arial" w:hAnsi="Arial"/>
                <w:sz w:val="16"/>
                <w:szCs w:val="16"/>
                <w:color w:val="auto"/>
              </w:rPr>
              <w:t>Long-term debt</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7,993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8,286</w:t>
            </w:r>
          </w:p>
        </w:tc>
        <w:tc>
          <w:tcPr>
            <w:tcW w:w="0" w:type="dxa"/>
            <w:vAlign w:val="bottom"/>
          </w:tcPr>
          <w:p>
            <w:pPr>
              <w:spacing w:after="0"/>
              <w:rPr>
                <w:sz w:val="1"/>
                <w:szCs w:val="1"/>
                <w:color w:val="auto"/>
              </w:rPr>
            </w:pPr>
          </w:p>
        </w:tc>
      </w:tr>
      <w:tr>
        <w:trPr>
          <w:trHeight w:val="216"/>
        </w:trPr>
        <w:tc>
          <w:tcPr>
            <w:tcW w:w="8360" w:type="dxa"/>
            <w:vAlign w:val="bottom"/>
          </w:tcPr>
          <w:p>
            <w:pPr>
              <w:ind w:left="120"/>
              <w:spacing w:after="0"/>
              <w:rPr>
                <w:sz w:val="20"/>
                <w:szCs w:val="20"/>
                <w:color w:val="auto"/>
              </w:rPr>
            </w:pPr>
            <w:r>
              <w:rPr>
                <w:rFonts w:ascii="Arial" w:cs="Arial" w:eastAsia="Arial" w:hAnsi="Arial"/>
                <w:sz w:val="16"/>
                <w:szCs w:val="16"/>
                <w:color w:val="auto"/>
              </w:rPr>
              <w:t>Long-term operating lease obligations</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410</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478</w:t>
            </w:r>
          </w:p>
        </w:tc>
        <w:tc>
          <w:tcPr>
            <w:tcW w:w="0" w:type="dxa"/>
            <w:vAlign w:val="bottom"/>
          </w:tcPr>
          <w:p>
            <w:pPr>
              <w:spacing w:after="0"/>
              <w:rPr>
                <w:sz w:val="1"/>
                <w:szCs w:val="1"/>
                <w:color w:val="auto"/>
              </w:rPr>
            </w:pPr>
          </w:p>
        </w:tc>
      </w:tr>
      <w:tr>
        <w:trPr>
          <w:trHeight w:val="216"/>
        </w:trPr>
        <w:tc>
          <w:tcPr>
            <w:tcW w:w="8360" w:type="dxa"/>
            <w:vAlign w:val="bottom"/>
          </w:tcPr>
          <w:p>
            <w:pPr>
              <w:ind w:left="120"/>
              <w:spacing w:after="0"/>
              <w:rPr>
                <w:sz w:val="20"/>
                <w:szCs w:val="20"/>
                <w:color w:val="auto"/>
              </w:rPr>
            </w:pPr>
            <w:r>
              <w:rPr>
                <w:rFonts w:ascii="Arial" w:cs="Arial" w:eastAsia="Arial" w:hAnsi="Arial"/>
                <w:sz w:val="16"/>
                <w:szCs w:val="16"/>
                <w:color w:val="auto"/>
              </w:rPr>
              <w:t>Long-term finance lease obligations</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205</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220</w:t>
            </w:r>
          </w:p>
        </w:tc>
        <w:tc>
          <w:tcPr>
            <w:tcW w:w="0" w:type="dxa"/>
            <w:vAlign w:val="bottom"/>
          </w:tcPr>
          <w:p>
            <w:pPr>
              <w:spacing w:after="0"/>
              <w:rPr>
                <w:sz w:val="1"/>
                <w:szCs w:val="1"/>
                <w:color w:val="auto"/>
              </w:rPr>
            </w:pPr>
          </w:p>
        </w:tc>
      </w:tr>
      <w:tr>
        <w:trPr>
          <w:trHeight w:val="216"/>
        </w:trPr>
        <w:tc>
          <w:tcPr>
            <w:tcW w:w="8360" w:type="dxa"/>
            <w:vAlign w:val="bottom"/>
          </w:tcPr>
          <w:p>
            <w:pPr>
              <w:ind w:left="120"/>
              <w:spacing w:after="0"/>
              <w:rPr>
                <w:sz w:val="20"/>
                <w:szCs w:val="20"/>
                <w:color w:val="auto"/>
              </w:rPr>
            </w:pPr>
            <w:r>
              <w:rPr>
                <w:rFonts w:ascii="Arial" w:cs="Arial" w:eastAsia="Arial" w:hAnsi="Arial"/>
                <w:sz w:val="16"/>
                <w:szCs w:val="16"/>
                <w:color w:val="auto"/>
              </w:rPr>
              <w:t>Deferred income taxes</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346</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342</w:t>
            </w:r>
          </w:p>
        </w:tc>
        <w:tc>
          <w:tcPr>
            <w:tcW w:w="0" w:type="dxa"/>
            <w:vAlign w:val="bottom"/>
          </w:tcPr>
          <w:p>
            <w:pPr>
              <w:spacing w:after="0"/>
              <w:rPr>
                <w:sz w:val="1"/>
                <w:szCs w:val="1"/>
                <w:color w:val="auto"/>
              </w:rPr>
            </w:pPr>
          </w:p>
        </w:tc>
      </w:tr>
      <w:tr>
        <w:trPr>
          <w:trHeight w:val="216"/>
        </w:trPr>
        <w:tc>
          <w:tcPr>
            <w:tcW w:w="8360" w:type="dxa"/>
            <w:vAlign w:val="bottom"/>
          </w:tcPr>
          <w:p>
            <w:pPr>
              <w:ind w:left="120"/>
              <w:spacing w:after="0"/>
              <w:rPr>
                <w:sz w:val="20"/>
                <w:szCs w:val="20"/>
                <w:color w:val="auto"/>
              </w:rPr>
            </w:pPr>
            <w:r>
              <w:rPr>
                <w:rFonts w:ascii="Arial" w:cs="Arial" w:eastAsia="Arial" w:hAnsi="Arial"/>
                <w:sz w:val="16"/>
                <w:szCs w:val="16"/>
                <w:color w:val="auto"/>
              </w:rPr>
              <w:t>Asset retirement obligations</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838</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894</w:t>
            </w:r>
          </w:p>
        </w:tc>
        <w:tc>
          <w:tcPr>
            <w:tcW w:w="0" w:type="dxa"/>
            <w:vAlign w:val="bottom"/>
          </w:tcPr>
          <w:p>
            <w:pPr>
              <w:spacing w:after="0"/>
              <w:rPr>
                <w:sz w:val="1"/>
                <w:szCs w:val="1"/>
                <w:color w:val="auto"/>
              </w:rPr>
            </w:pPr>
          </w:p>
        </w:tc>
      </w:tr>
      <w:tr>
        <w:trPr>
          <w:trHeight w:val="216"/>
        </w:trPr>
        <w:tc>
          <w:tcPr>
            <w:tcW w:w="8360" w:type="dxa"/>
            <w:vAlign w:val="bottom"/>
          </w:tcPr>
          <w:p>
            <w:pPr>
              <w:ind w:left="120"/>
              <w:spacing w:after="0"/>
              <w:rPr>
                <w:sz w:val="20"/>
                <w:szCs w:val="20"/>
                <w:color w:val="auto"/>
              </w:rPr>
            </w:pPr>
            <w:r>
              <w:rPr>
                <w:rFonts w:ascii="Arial" w:cs="Arial" w:eastAsia="Arial" w:hAnsi="Arial"/>
                <w:sz w:val="16"/>
                <w:szCs w:val="16"/>
                <w:color w:val="auto"/>
              </w:rPr>
              <w:t>Other liabilities and deferred credits</w:t>
            </w: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693</w:t>
            </w: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643</w:t>
            </w:r>
          </w:p>
        </w:tc>
        <w:tc>
          <w:tcPr>
            <w:tcW w:w="0" w:type="dxa"/>
            <w:vAlign w:val="bottom"/>
          </w:tcPr>
          <w:p>
            <w:pPr>
              <w:spacing w:after="0"/>
              <w:rPr>
                <w:sz w:val="1"/>
                <w:szCs w:val="1"/>
                <w:color w:val="auto"/>
              </w:rPr>
            </w:pPr>
          </w:p>
        </w:tc>
      </w:tr>
      <w:tr>
        <w:trPr>
          <w:trHeight w:val="210"/>
        </w:trPr>
        <w:tc>
          <w:tcPr>
            <w:tcW w:w="8360" w:type="dxa"/>
            <w:vAlign w:val="bottom"/>
          </w:tcPr>
          <w:p>
            <w:pPr>
              <w:ind w:left="540"/>
              <w:spacing w:after="0"/>
              <w:rPr>
                <w:sz w:val="20"/>
                <w:szCs w:val="20"/>
                <w:color w:val="auto"/>
              </w:rPr>
            </w:pPr>
            <w:r>
              <w:rPr>
                <w:rFonts w:ascii="Arial" w:cs="Arial" w:eastAsia="Arial" w:hAnsi="Arial"/>
                <w:sz w:val="16"/>
                <w:szCs w:val="16"/>
                <w:color w:val="auto"/>
              </w:rPr>
              <w:t>Total Liabilities</w:t>
            </w: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13,234</w:t>
            </w: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12,486</w:t>
            </w:r>
          </w:p>
        </w:tc>
        <w:tc>
          <w:tcPr>
            <w:tcW w:w="0" w:type="dxa"/>
            <w:vAlign w:val="bottom"/>
          </w:tcPr>
          <w:p>
            <w:pPr>
              <w:spacing w:after="0"/>
              <w:rPr>
                <w:sz w:val="1"/>
                <w:szCs w:val="1"/>
                <w:color w:val="auto"/>
              </w:rPr>
            </w:pPr>
          </w:p>
        </w:tc>
      </w:tr>
      <w:tr>
        <w:trPr>
          <w:trHeight w:val="196"/>
        </w:trPr>
        <w:tc>
          <w:tcPr>
            <w:tcW w:w="8360" w:type="dxa"/>
            <w:vAlign w:val="bottom"/>
          </w:tcPr>
          <w:p>
            <w:pPr>
              <w:spacing w:after="0"/>
              <w:rPr>
                <w:sz w:val="20"/>
                <w:szCs w:val="20"/>
                <w:color w:val="auto"/>
              </w:rPr>
            </w:pPr>
            <w:r>
              <w:rPr>
                <w:rFonts w:ascii="Arial" w:cs="Arial" w:eastAsia="Arial" w:hAnsi="Arial"/>
                <w:sz w:val="16"/>
                <w:szCs w:val="16"/>
                <w:b w:val="1"/>
                <w:bCs w:val="1"/>
                <w:color w:val="auto"/>
              </w:rPr>
              <w:t>Equity</w:t>
            </w: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360" w:type="dxa"/>
            <w:vAlign w:val="bottom"/>
          </w:tcPr>
          <w:p>
            <w:pPr>
              <w:ind w:left="120"/>
              <w:spacing w:after="0"/>
              <w:rPr>
                <w:sz w:val="20"/>
                <w:szCs w:val="20"/>
                <w:color w:val="auto"/>
              </w:rPr>
            </w:pPr>
            <w:r>
              <w:rPr>
                <w:rFonts w:ascii="Arial" w:cs="Arial" w:eastAsia="Arial" w:hAnsi="Arial"/>
                <w:sz w:val="16"/>
                <w:szCs w:val="16"/>
                <w:color w:val="auto"/>
              </w:rPr>
              <w:t>Hess Corporation stockholders’ equity:</w:t>
            </w: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360" w:type="dxa"/>
            <w:vAlign w:val="bottom"/>
          </w:tcPr>
          <w:p>
            <w:pPr>
              <w:ind w:left="340"/>
              <w:spacing w:after="0"/>
              <w:rPr>
                <w:sz w:val="20"/>
                <w:szCs w:val="20"/>
                <w:color w:val="auto"/>
              </w:rPr>
            </w:pPr>
            <w:r>
              <w:rPr>
                <w:rFonts w:ascii="Arial" w:cs="Arial" w:eastAsia="Arial" w:hAnsi="Arial"/>
                <w:sz w:val="16"/>
                <w:szCs w:val="16"/>
                <w:color w:val="auto"/>
              </w:rPr>
              <w:t>Common stock, par value $1.00; Authorized — 600,000,000 shares</w:t>
            </w: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360" w:type="dxa"/>
            <w:vAlign w:val="bottom"/>
          </w:tcPr>
          <w:p>
            <w:pPr>
              <w:ind w:left="540"/>
              <w:spacing w:after="0"/>
              <w:rPr>
                <w:sz w:val="20"/>
                <w:szCs w:val="20"/>
                <w:color w:val="auto"/>
              </w:rPr>
            </w:pPr>
            <w:r>
              <w:rPr>
                <w:rFonts w:ascii="Arial" w:cs="Arial" w:eastAsia="Arial" w:hAnsi="Arial"/>
                <w:sz w:val="16"/>
                <w:szCs w:val="16"/>
                <w:i w:val="1"/>
                <w:iCs w:val="1"/>
                <w:color w:val="auto"/>
              </w:rPr>
              <w:t>Issued — 309,726,894 shares (2020: 306,980,092)</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310</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307</w:t>
            </w:r>
          </w:p>
        </w:tc>
        <w:tc>
          <w:tcPr>
            <w:tcW w:w="0" w:type="dxa"/>
            <w:vAlign w:val="bottom"/>
          </w:tcPr>
          <w:p>
            <w:pPr>
              <w:spacing w:after="0"/>
              <w:rPr>
                <w:sz w:val="1"/>
                <w:szCs w:val="1"/>
                <w:color w:val="auto"/>
              </w:rPr>
            </w:pPr>
          </w:p>
        </w:tc>
      </w:tr>
      <w:tr>
        <w:trPr>
          <w:trHeight w:val="216"/>
        </w:trPr>
        <w:tc>
          <w:tcPr>
            <w:tcW w:w="8360" w:type="dxa"/>
            <w:vAlign w:val="bottom"/>
          </w:tcPr>
          <w:p>
            <w:pPr>
              <w:ind w:left="340"/>
              <w:spacing w:after="0"/>
              <w:rPr>
                <w:sz w:val="20"/>
                <w:szCs w:val="20"/>
                <w:color w:val="auto"/>
              </w:rPr>
            </w:pPr>
            <w:r>
              <w:rPr>
                <w:rFonts w:ascii="Arial" w:cs="Arial" w:eastAsia="Arial" w:hAnsi="Arial"/>
                <w:sz w:val="16"/>
                <w:szCs w:val="16"/>
                <w:color w:val="auto"/>
              </w:rPr>
              <w:t>Capital in excess of par value</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5,903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5,684</w:t>
            </w:r>
          </w:p>
        </w:tc>
        <w:tc>
          <w:tcPr>
            <w:tcW w:w="0" w:type="dxa"/>
            <w:vAlign w:val="bottom"/>
          </w:tcPr>
          <w:p>
            <w:pPr>
              <w:spacing w:after="0"/>
              <w:rPr>
                <w:sz w:val="1"/>
                <w:szCs w:val="1"/>
                <w:color w:val="auto"/>
              </w:rPr>
            </w:pPr>
          </w:p>
        </w:tc>
      </w:tr>
      <w:tr>
        <w:trPr>
          <w:trHeight w:val="216"/>
        </w:trPr>
        <w:tc>
          <w:tcPr>
            <w:tcW w:w="8360" w:type="dxa"/>
            <w:vAlign w:val="bottom"/>
          </w:tcPr>
          <w:p>
            <w:pPr>
              <w:ind w:left="340"/>
              <w:spacing w:after="0"/>
              <w:rPr>
                <w:sz w:val="20"/>
                <w:szCs w:val="20"/>
                <w:color w:val="auto"/>
              </w:rPr>
            </w:pPr>
            <w:r>
              <w:rPr>
                <w:rFonts w:ascii="Arial" w:cs="Arial" w:eastAsia="Arial" w:hAnsi="Arial"/>
                <w:sz w:val="16"/>
                <w:szCs w:val="16"/>
                <w:color w:val="auto"/>
              </w:rPr>
              <w:t>Retained earnings</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192</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130</w:t>
            </w:r>
          </w:p>
        </w:tc>
        <w:tc>
          <w:tcPr>
            <w:tcW w:w="0" w:type="dxa"/>
            <w:vAlign w:val="bottom"/>
          </w:tcPr>
          <w:p>
            <w:pPr>
              <w:spacing w:after="0"/>
              <w:rPr>
                <w:sz w:val="1"/>
                <w:szCs w:val="1"/>
                <w:color w:val="auto"/>
              </w:rPr>
            </w:pPr>
          </w:p>
        </w:tc>
      </w:tr>
      <w:tr>
        <w:trPr>
          <w:trHeight w:val="216"/>
        </w:trPr>
        <w:tc>
          <w:tcPr>
            <w:tcW w:w="8360" w:type="dxa"/>
            <w:vAlign w:val="bottom"/>
          </w:tcPr>
          <w:p>
            <w:pPr>
              <w:ind w:left="340"/>
              <w:spacing w:after="0"/>
              <w:rPr>
                <w:sz w:val="20"/>
                <w:szCs w:val="20"/>
                <w:color w:val="auto"/>
              </w:rPr>
            </w:pPr>
            <w:r>
              <w:rPr>
                <w:rFonts w:ascii="Arial" w:cs="Arial" w:eastAsia="Arial" w:hAnsi="Arial"/>
                <w:sz w:val="16"/>
                <w:szCs w:val="16"/>
                <w:color w:val="auto"/>
              </w:rPr>
              <w:t>Accumulated other comprehensive income (loss)</w:t>
            </w: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(796)</w:t>
            </w: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(755)</w:t>
            </w:r>
          </w:p>
        </w:tc>
        <w:tc>
          <w:tcPr>
            <w:tcW w:w="0" w:type="dxa"/>
            <w:vAlign w:val="bottom"/>
          </w:tcPr>
          <w:p>
            <w:pPr>
              <w:spacing w:after="0"/>
              <w:rPr>
                <w:sz w:val="1"/>
                <w:szCs w:val="1"/>
                <w:color w:val="auto"/>
              </w:rPr>
            </w:pPr>
          </w:p>
        </w:tc>
      </w:tr>
      <w:tr>
        <w:trPr>
          <w:trHeight w:val="209"/>
        </w:trPr>
        <w:tc>
          <w:tcPr>
            <w:tcW w:w="8360" w:type="dxa"/>
            <w:vAlign w:val="bottom"/>
          </w:tcPr>
          <w:p>
            <w:pPr>
              <w:ind w:left="540"/>
              <w:spacing w:after="0"/>
              <w:rPr>
                <w:sz w:val="20"/>
                <w:szCs w:val="20"/>
                <w:color w:val="auto"/>
              </w:rPr>
            </w:pPr>
            <w:r>
              <w:rPr>
                <w:rFonts w:ascii="Arial" w:cs="Arial" w:eastAsia="Arial" w:hAnsi="Arial"/>
                <w:sz w:val="16"/>
                <w:szCs w:val="16"/>
                <w:color w:val="auto"/>
              </w:rPr>
              <w:t>Total Hess Corporation stockholders’ equity</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5,609</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5,366</w:t>
            </w:r>
          </w:p>
        </w:tc>
        <w:tc>
          <w:tcPr>
            <w:tcW w:w="0" w:type="dxa"/>
            <w:vAlign w:val="bottom"/>
          </w:tcPr>
          <w:p>
            <w:pPr>
              <w:spacing w:after="0"/>
              <w:rPr>
                <w:sz w:val="1"/>
                <w:szCs w:val="1"/>
                <w:color w:val="auto"/>
              </w:rPr>
            </w:pPr>
          </w:p>
        </w:tc>
      </w:tr>
      <w:tr>
        <w:trPr>
          <w:trHeight w:val="216"/>
        </w:trPr>
        <w:tc>
          <w:tcPr>
            <w:tcW w:w="8360" w:type="dxa"/>
            <w:vAlign w:val="bottom"/>
          </w:tcPr>
          <w:p>
            <w:pPr>
              <w:ind w:left="120"/>
              <w:spacing w:after="0"/>
              <w:rPr>
                <w:sz w:val="20"/>
                <w:szCs w:val="20"/>
                <w:color w:val="auto"/>
              </w:rPr>
            </w:pPr>
            <w:r>
              <w:rPr>
                <w:rFonts w:ascii="Arial" w:cs="Arial" w:eastAsia="Arial" w:hAnsi="Arial"/>
                <w:sz w:val="16"/>
                <w:szCs w:val="16"/>
                <w:color w:val="auto"/>
              </w:rPr>
              <w:t>Noncontrolling interests</w:t>
            </w: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647</w:t>
            </w: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969</w:t>
            </w:r>
          </w:p>
        </w:tc>
        <w:tc>
          <w:tcPr>
            <w:tcW w:w="0" w:type="dxa"/>
            <w:vAlign w:val="bottom"/>
          </w:tcPr>
          <w:p>
            <w:pPr>
              <w:spacing w:after="0"/>
              <w:rPr>
                <w:sz w:val="1"/>
                <w:szCs w:val="1"/>
                <w:color w:val="auto"/>
              </w:rPr>
            </w:pPr>
          </w:p>
        </w:tc>
      </w:tr>
      <w:tr>
        <w:trPr>
          <w:trHeight w:val="213"/>
        </w:trPr>
        <w:tc>
          <w:tcPr>
            <w:tcW w:w="8360" w:type="dxa"/>
            <w:vAlign w:val="bottom"/>
          </w:tcPr>
          <w:p>
            <w:pPr>
              <w:ind w:left="540"/>
              <w:spacing w:after="0"/>
              <w:rPr>
                <w:sz w:val="20"/>
                <w:szCs w:val="20"/>
                <w:color w:val="auto"/>
              </w:rPr>
            </w:pPr>
            <w:r>
              <w:rPr>
                <w:rFonts w:ascii="Arial" w:cs="Arial" w:eastAsia="Arial" w:hAnsi="Arial"/>
                <w:sz w:val="16"/>
                <w:szCs w:val="16"/>
                <w:color w:val="auto"/>
              </w:rPr>
              <w:t>Total Equity</w:t>
            </w: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6,256</w:t>
            </w: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6,335</w:t>
            </w:r>
          </w:p>
        </w:tc>
        <w:tc>
          <w:tcPr>
            <w:tcW w:w="0" w:type="dxa"/>
            <w:vAlign w:val="bottom"/>
          </w:tcPr>
          <w:p>
            <w:pPr>
              <w:spacing w:after="0"/>
              <w:rPr>
                <w:sz w:val="1"/>
                <w:szCs w:val="1"/>
                <w:color w:val="auto"/>
              </w:rPr>
            </w:pPr>
          </w:p>
        </w:tc>
      </w:tr>
      <w:tr>
        <w:trPr>
          <w:trHeight w:val="213"/>
        </w:trPr>
        <w:tc>
          <w:tcPr>
            <w:tcW w:w="8360" w:type="dxa"/>
            <w:vAlign w:val="bottom"/>
          </w:tcPr>
          <w:p>
            <w:pPr>
              <w:ind w:left="980"/>
              <w:spacing w:after="0"/>
              <w:rPr>
                <w:sz w:val="20"/>
                <w:szCs w:val="20"/>
                <w:color w:val="auto"/>
              </w:rPr>
            </w:pPr>
            <w:r>
              <w:rPr>
                <w:rFonts w:ascii="Arial" w:cs="Arial" w:eastAsia="Arial" w:hAnsi="Arial"/>
                <w:sz w:val="16"/>
                <w:szCs w:val="16"/>
                <w:b w:val="1"/>
                <w:bCs w:val="1"/>
                <w:color w:val="auto"/>
              </w:rPr>
              <w:t>Total Liabilities and Equity</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19,490</w:t>
            </w:r>
          </w:p>
        </w:tc>
        <w:tc>
          <w:tcPr>
            <w:tcW w:w="10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18,821</w:t>
            </w:r>
          </w:p>
        </w:tc>
        <w:tc>
          <w:tcPr>
            <w:tcW w:w="0" w:type="dxa"/>
            <w:vAlign w:val="bottom"/>
          </w:tcPr>
          <w:p>
            <w:pPr>
              <w:spacing w:after="0"/>
              <w:rPr>
                <w:sz w:val="1"/>
                <w:szCs w:val="1"/>
                <w:color w:val="auto"/>
              </w:rPr>
            </w:pPr>
          </w:p>
        </w:tc>
      </w:tr>
      <w:tr>
        <w:trPr>
          <w:trHeight w:val="20"/>
        </w:trPr>
        <w:tc>
          <w:tcPr>
            <w:tcW w:w="83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ectPr>
          <w:pgSz w:w="11900" w:h="16838" w:orient="portrait"/>
          <w:cols w:equalWidth="0" w:num="1">
            <w:col w:w="11240"/>
          </w:cols>
          <w:pgMar w:left="320" w:top="769" w:right="339"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107315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type w:val="continuous"/>
        </w:sectPr>
      </w:pPr>
    </w:p>
    <w:bookmarkStart w:id="3" w:name="page4"/>
    <w:bookmarkEnd w:id="3"/>
    <w:p>
      <w:pPr>
        <w:jc w:val="center"/>
        <w:ind w:right="2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5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STATEMENT OF CONSOLIDATED INCOME (UNAUDITED)</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40" w:type="dxa"/>
            <w:vAlign w:val="bottom"/>
          </w:tcPr>
          <w:p>
            <w:pPr>
              <w:spacing w:after="0"/>
              <w:rPr>
                <w:sz w:val="14"/>
                <w:szCs w:val="14"/>
                <w:color w:val="auto"/>
              </w:rPr>
            </w:pPr>
          </w:p>
        </w:tc>
        <w:tc>
          <w:tcPr>
            <w:tcW w:w="2040" w:type="dxa"/>
            <w:vAlign w:val="bottom"/>
            <w:gridSpan w:val="4"/>
          </w:tcPr>
          <w:p>
            <w:pPr>
              <w:jc w:val="right"/>
              <w:ind w:right="62"/>
              <w:spacing w:after="0"/>
              <w:rPr>
                <w:sz w:val="20"/>
                <w:szCs w:val="20"/>
                <w:color w:val="auto"/>
              </w:rPr>
            </w:pPr>
            <w:r>
              <w:rPr>
                <w:rFonts w:ascii="Arial" w:cs="Arial" w:eastAsia="Arial" w:hAnsi="Arial"/>
                <w:sz w:val="14"/>
                <w:szCs w:val="14"/>
                <w:b w:val="1"/>
                <w:bCs w:val="1"/>
                <w:color w:val="auto"/>
              </w:rPr>
              <w:t>Three Months Ended</w:t>
            </w:r>
          </w:p>
        </w:tc>
        <w:tc>
          <w:tcPr>
            <w:tcW w:w="4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0" w:type="dxa"/>
            <w:vAlign w:val="bottom"/>
            <w:gridSpan w:val="4"/>
          </w:tcPr>
          <w:p>
            <w:pPr>
              <w:jc w:val="right"/>
              <w:ind w:right="539"/>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88"/>
        </w:trPr>
        <w:tc>
          <w:tcPr>
            <w:tcW w:w="614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3"/>
          </w:tcPr>
          <w:p>
            <w:pPr>
              <w:jc w:val="right"/>
              <w:ind w:right="282"/>
              <w:spacing w:after="0"/>
              <w:rPr>
                <w:sz w:val="20"/>
                <w:szCs w:val="20"/>
                <w:color w:val="auto"/>
              </w:rPr>
            </w:pPr>
            <w:r>
              <w:rPr>
                <w:rFonts w:ascii="Arial" w:cs="Arial" w:eastAsia="Arial" w:hAnsi="Arial"/>
                <w:sz w:val="14"/>
                <w:szCs w:val="14"/>
                <w:b w:val="1"/>
                <w:bCs w:val="1"/>
                <w:color w:val="auto"/>
                <w:w w:val="93"/>
              </w:rPr>
              <w:t>September 30,</w:t>
            </w:r>
          </w:p>
        </w:tc>
        <w:tc>
          <w:tcPr>
            <w:tcW w:w="4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6140" w:type="dxa"/>
            <w:vAlign w:val="bottom"/>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4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4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379"/>
              <w:spacing w:after="0"/>
              <w:rPr>
                <w:sz w:val="20"/>
                <w:szCs w:val="20"/>
                <w:color w:val="auto"/>
              </w:rPr>
            </w:pPr>
            <w:r>
              <w:rPr>
                <w:rFonts w:ascii="Arial" w:cs="Arial" w:eastAsia="Arial" w:hAnsi="Arial"/>
                <w:sz w:val="14"/>
                <w:szCs w:val="14"/>
                <w:b w:val="1"/>
                <w:bCs w:val="1"/>
                <w:color w:val="auto"/>
                <w:w w:val="96"/>
              </w:rPr>
              <w:t>2020</w:t>
            </w:r>
          </w:p>
        </w:tc>
        <w:tc>
          <w:tcPr>
            <w:tcW w:w="0" w:type="dxa"/>
            <w:vAlign w:val="bottom"/>
          </w:tcPr>
          <w:p>
            <w:pPr>
              <w:spacing w:after="0"/>
              <w:rPr>
                <w:sz w:val="1"/>
                <w:szCs w:val="1"/>
                <w:color w:val="auto"/>
              </w:rPr>
            </w:pPr>
          </w:p>
        </w:tc>
      </w:tr>
      <w:tr>
        <w:trPr>
          <w:trHeight w:val="212"/>
        </w:trPr>
        <w:tc>
          <w:tcPr>
            <w:tcW w:w="6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0" w:type="dxa"/>
            <w:vAlign w:val="bottom"/>
            <w:gridSpan w:val="6"/>
          </w:tcPr>
          <w:p>
            <w:pPr>
              <w:ind w:left="40"/>
              <w:spacing w:after="0"/>
              <w:rPr>
                <w:sz w:val="20"/>
                <w:szCs w:val="20"/>
                <w:color w:val="auto"/>
              </w:rPr>
            </w:pPr>
            <w:r>
              <w:rPr>
                <w:rFonts w:ascii="Arial" w:cs="Arial" w:eastAsia="Arial" w:hAnsi="Arial"/>
                <w:sz w:val="14"/>
                <w:szCs w:val="14"/>
                <w:b w:val="1"/>
                <w:bCs w:val="1"/>
                <w:color w:val="auto"/>
                <w:w w:val="97"/>
              </w:rPr>
              <w:t>(In millions, except per share amounts)</w:t>
            </w: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6140" w:type="dxa"/>
            <w:vAlign w:val="bottom"/>
          </w:tcPr>
          <w:p>
            <w:pPr>
              <w:spacing w:after="0"/>
              <w:rPr>
                <w:sz w:val="20"/>
                <w:szCs w:val="20"/>
                <w:color w:val="auto"/>
              </w:rPr>
            </w:pPr>
            <w:r>
              <w:rPr>
                <w:rFonts w:ascii="Arial" w:cs="Arial" w:eastAsia="Arial" w:hAnsi="Arial"/>
                <w:sz w:val="16"/>
                <w:szCs w:val="16"/>
                <w:b w:val="1"/>
                <w:bCs w:val="1"/>
                <w:color w:val="auto"/>
              </w:rPr>
              <w:t>Revenues and Non-Operating Income</w:t>
            </w:r>
          </w:p>
        </w:tc>
        <w:tc>
          <w:tcPr>
            <w:tcW w:w="7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Sales and other operating revenues</w:t>
            </w:r>
          </w:p>
        </w:tc>
        <w:tc>
          <w:tcPr>
            <w:tcW w:w="760" w:type="dxa"/>
            <w:vAlign w:val="bottom"/>
          </w:tcPr>
          <w:p>
            <w:pPr>
              <w:jc w:val="right"/>
              <w:ind w:right="58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84"/>
              </w:rPr>
              <w:t>1,759</w:t>
            </w:r>
          </w:p>
        </w:tc>
        <w:tc>
          <w:tcPr>
            <w:tcW w:w="100" w:type="dxa"/>
            <w:vAlign w:val="bottom"/>
          </w:tcPr>
          <w:p>
            <w:pPr>
              <w:spacing w:after="0"/>
              <w:rPr>
                <w:sz w:val="18"/>
                <w:szCs w:val="18"/>
                <w:color w:val="auto"/>
              </w:rPr>
            </w:pPr>
          </w:p>
        </w:tc>
        <w:tc>
          <w:tcPr>
            <w:tcW w:w="740" w:type="dxa"/>
            <w:vAlign w:val="bottom"/>
          </w:tcPr>
          <w:p>
            <w:pPr>
              <w:jc w:val="right"/>
              <w:ind w:right="56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89"/>
              </w:rPr>
              <w:t>1,159</w:t>
            </w:r>
          </w:p>
        </w:tc>
        <w:tc>
          <w:tcPr>
            <w:tcW w:w="12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5,236</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3,346</w:t>
            </w: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Gains (losses) on asset sales, net</w:t>
            </w: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29</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Other, net</w:t>
            </w:r>
          </w:p>
        </w:tc>
        <w:tc>
          <w:tcPr>
            <w:tcW w:w="76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w:t>
            </w:r>
          </w:p>
        </w:tc>
        <w:tc>
          <w:tcPr>
            <w:tcW w:w="100" w:type="dxa"/>
            <w:vAlign w:val="bottom"/>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w:t>
            </w:r>
          </w:p>
        </w:tc>
        <w:tc>
          <w:tcPr>
            <w:tcW w:w="12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63</w:t>
            </w:r>
          </w:p>
        </w:tc>
        <w:tc>
          <w:tcPr>
            <w:tcW w:w="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w:t>
            </w:r>
          </w:p>
        </w:tc>
        <w:tc>
          <w:tcPr>
            <w:tcW w:w="0" w:type="dxa"/>
            <w:vAlign w:val="bottom"/>
          </w:tcPr>
          <w:p>
            <w:pPr>
              <w:spacing w:after="0"/>
              <w:rPr>
                <w:sz w:val="1"/>
                <w:szCs w:val="1"/>
                <w:color w:val="auto"/>
              </w:rPr>
            </w:pPr>
          </w:p>
        </w:tc>
      </w:tr>
      <w:tr>
        <w:trPr>
          <w:trHeight w:val="209"/>
        </w:trPr>
        <w:tc>
          <w:tcPr>
            <w:tcW w:w="6140" w:type="dxa"/>
            <w:vAlign w:val="bottom"/>
          </w:tcPr>
          <w:p>
            <w:pPr>
              <w:ind w:left="460"/>
              <w:spacing w:after="0"/>
              <w:rPr>
                <w:sz w:val="20"/>
                <w:szCs w:val="20"/>
                <w:color w:val="auto"/>
              </w:rPr>
            </w:pPr>
            <w:r>
              <w:rPr>
                <w:rFonts w:ascii="Arial" w:cs="Arial" w:eastAsia="Arial" w:hAnsi="Arial"/>
                <w:sz w:val="16"/>
                <w:szCs w:val="16"/>
                <w:color w:val="auto"/>
              </w:rPr>
              <w:t>Total revenues and non-operating income</w:t>
            </w:r>
          </w:p>
        </w:tc>
        <w:tc>
          <w:tcPr>
            <w:tcW w:w="76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4"/>
              </w:rPr>
              <w:t>1,811</w:t>
            </w:r>
          </w:p>
        </w:tc>
        <w:tc>
          <w:tcPr>
            <w:tcW w:w="100" w:type="dxa"/>
            <w:vAlign w:val="bottom"/>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1,176</w:t>
            </w:r>
          </w:p>
        </w:tc>
        <w:tc>
          <w:tcPr>
            <w:tcW w:w="12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5,328</w:t>
            </w:r>
          </w:p>
        </w:tc>
        <w:tc>
          <w:tcPr>
            <w:tcW w:w="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3,387</w:t>
            </w:r>
          </w:p>
        </w:tc>
        <w:tc>
          <w:tcPr>
            <w:tcW w:w="0" w:type="dxa"/>
            <w:vAlign w:val="bottom"/>
          </w:tcPr>
          <w:p>
            <w:pPr>
              <w:spacing w:after="0"/>
              <w:rPr>
                <w:sz w:val="1"/>
                <w:szCs w:val="1"/>
                <w:color w:val="auto"/>
              </w:rPr>
            </w:pPr>
          </w:p>
        </w:tc>
      </w:tr>
      <w:tr>
        <w:trPr>
          <w:trHeight w:val="196"/>
        </w:trPr>
        <w:tc>
          <w:tcPr>
            <w:tcW w:w="6140" w:type="dxa"/>
            <w:vAlign w:val="bottom"/>
          </w:tcPr>
          <w:p>
            <w:pPr>
              <w:spacing w:after="0"/>
              <w:rPr>
                <w:sz w:val="20"/>
                <w:szCs w:val="20"/>
                <w:color w:val="auto"/>
              </w:rPr>
            </w:pPr>
            <w:r>
              <w:rPr>
                <w:rFonts w:ascii="Arial" w:cs="Arial" w:eastAsia="Arial" w:hAnsi="Arial"/>
                <w:sz w:val="16"/>
                <w:szCs w:val="16"/>
                <w:b w:val="1"/>
                <w:bCs w:val="1"/>
                <w:color w:val="auto"/>
              </w:rPr>
              <w:t>Costs and Expenses</w:t>
            </w:r>
          </w:p>
        </w:tc>
        <w:tc>
          <w:tcPr>
            <w:tcW w:w="7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Marketing, including purchased oil and gas</w:t>
            </w: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522</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221</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1,362</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655</w:t>
            </w: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Operating costs and expenses</w:t>
            </w: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333</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308</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913</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905</w:t>
            </w: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Production and severance taxes</w:t>
            </w: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42</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34</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123</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92</w:t>
            </w: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Exploration expenses, including dry holes and lease impairment</w:t>
            </w: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36</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71</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117</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291</w:t>
            </w: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General and administrative expenses</w:t>
            </w: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76</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84</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254</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275</w:t>
            </w: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Interest expense</w:t>
            </w: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125</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118</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360</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350</w:t>
            </w: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Depreciation, depletion and amortization</w:t>
            </w: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349</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518</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1,130</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1,588</w:t>
            </w: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Impairment and other</w:t>
            </w:r>
          </w:p>
        </w:tc>
        <w:tc>
          <w:tcPr>
            <w:tcW w:w="760" w:type="dxa"/>
            <w:vAlign w:val="bottom"/>
          </w:tcPr>
          <w:p>
            <w:pPr>
              <w:spacing w:after="0"/>
              <w:rPr>
                <w:sz w:val="18"/>
                <w:szCs w:val="18"/>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740" w:type="dxa"/>
            <w:vAlign w:val="bottom"/>
          </w:tcPr>
          <w:p>
            <w:pPr>
              <w:spacing w:after="0"/>
              <w:rPr>
                <w:sz w:val="18"/>
                <w:szCs w:val="18"/>
                <w:color w:val="auto"/>
              </w:rPr>
            </w:pPr>
          </w:p>
        </w:tc>
        <w:tc>
          <w:tcPr>
            <w:tcW w:w="5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147</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2,126</w:t>
            </w:r>
          </w:p>
        </w:tc>
        <w:tc>
          <w:tcPr>
            <w:tcW w:w="0" w:type="dxa"/>
            <w:vAlign w:val="bottom"/>
          </w:tcPr>
          <w:p>
            <w:pPr>
              <w:spacing w:after="0"/>
              <w:rPr>
                <w:sz w:val="1"/>
                <w:szCs w:val="1"/>
                <w:color w:val="auto"/>
              </w:rPr>
            </w:pPr>
          </w:p>
        </w:tc>
      </w:tr>
      <w:tr>
        <w:trPr>
          <w:trHeight w:val="209"/>
        </w:trPr>
        <w:tc>
          <w:tcPr>
            <w:tcW w:w="6140" w:type="dxa"/>
            <w:vAlign w:val="bottom"/>
          </w:tcPr>
          <w:p>
            <w:pPr>
              <w:ind w:left="460"/>
              <w:spacing w:after="0"/>
              <w:rPr>
                <w:sz w:val="20"/>
                <w:szCs w:val="20"/>
                <w:color w:val="auto"/>
              </w:rPr>
            </w:pPr>
            <w:r>
              <w:rPr>
                <w:rFonts w:ascii="Arial" w:cs="Arial" w:eastAsia="Arial" w:hAnsi="Arial"/>
                <w:sz w:val="16"/>
                <w:szCs w:val="16"/>
                <w:color w:val="auto"/>
              </w:rPr>
              <w:t>Total costs and expenses</w:t>
            </w:r>
          </w:p>
        </w:tc>
        <w:tc>
          <w:tcPr>
            <w:tcW w:w="760" w:type="dxa"/>
            <w:vAlign w:val="bottom"/>
            <w:tcBorders>
              <w:top w:val="single" w:sz="8" w:color="auto"/>
              <w:bottom w:val="single" w:sz="8" w:color="auto"/>
            </w:tcBorders>
          </w:tcPr>
          <w:p>
            <w:pPr>
              <w:spacing w:after="0"/>
              <w:rPr>
                <w:sz w:val="18"/>
                <w:szCs w:val="18"/>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4"/>
              </w:rPr>
              <w:t>1,483</w:t>
            </w:r>
          </w:p>
        </w:tc>
        <w:tc>
          <w:tcPr>
            <w:tcW w:w="100" w:type="dxa"/>
            <w:vAlign w:val="bottom"/>
          </w:tcPr>
          <w:p>
            <w:pPr>
              <w:spacing w:after="0"/>
              <w:rPr>
                <w:sz w:val="18"/>
                <w:szCs w:val="18"/>
                <w:color w:val="auto"/>
              </w:rPr>
            </w:pPr>
          </w:p>
        </w:tc>
        <w:tc>
          <w:tcPr>
            <w:tcW w:w="740" w:type="dxa"/>
            <w:vAlign w:val="bottom"/>
            <w:tcBorders>
              <w:top w:val="single" w:sz="8" w:color="auto"/>
              <w:bottom w:val="single" w:sz="8" w:color="auto"/>
            </w:tcBorders>
          </w:tcPr>
          <w:p>
            <w:pPr>
              <w:spacing w:after="0"/>
              <w:rPr>
                <w:sz w:val="18"/>
                <w:szCs w:val="18"/>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1,354</w:t>
            </w:r>
          </w:p>
        </w:tc>
        <w:tc>
          <w:tcPr>
            <w:tcW w:w="120" w:type="dxa"/>
            <w:vAlign w:val="bottom"/>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4,406</w:t>
            </w:r>
          </w:p>
        </w:tc>
        <w:tc>
          <w:tcPr>
            <w:tcW w:w="120" w:type="dxa"/>
            <w:vAlign w:val="bottom"/>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6,282</w:t>
            </w:r>
          </w:p>
        </w:tc>
        <w:tc>
          <w:tcPr>
            <w:tcW w:w="0" w:type="dxa"/>
            <w:vAlign w:val="bottom"/>
          </w:tcPr>
          <w:p>
            <w:pPr>
              <w:spacing w:after="0"/>
              <w:rPr>
                <w:sz w:val="1"/>
                <w:szCs w:val="1"/>
                <w:color w:val="auto"/>
              </w:rPr>
            </w:pPr>
          </w:p>
        </w:tc>
      </w:tr>
      <w:tr>
        <w:trPr>
          <w:trHeight w:val="209"/>
        </w:trPr>
        <w:tc>
          <w:tcPr>
            <w:tcW w:w="6140" w:type="dxa"/>
            <w:vAlign w:val="bottom"/>
          </w:tcPr>
          <w:p>
            <w:pPr>
              <w:spacing w:after="0"/>
              <w:rPr>
                <w:sz w:val="20"/>
                <w:szCs w:val="20"/>
                <w:color w:val="auto"/>
              </w:rPr>
            </w:pPr>
            <w:r>
              <w:rPr>
                <w:rFonts w:ascii="Arial" w:cs="Arial" w:eastAsia="Arial" w:hAnsi="Arial"/>
                <w:sz w:val="16"/>
                <w:szCs w:val="16"/>
                <w:b w:val="1"/>
                <w:bCs w:val="1"/>
                <w:color w:val="auto"/>
              </w:rPr>
              <w:t>Income (Loss) Before Income Taxes</w:t>
            </w: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328</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(178)</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922</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(2,895)</w:t>
            </w: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Provision (benefit) for income taxes</w:t>
            </w:r>
          </w:p>
        </w:tc>
        <w:tc>
          <w:tcPr>
            <w:tcW w:w="76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143</w:t>
            </w:r>
          </w:p>
        </w:tc>
        <w:tc>
          <w:tcPr>
            <w:tcW w:w="100" w:type="dxa"/>
            <w:vAlign w:val="bottom"/>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w:t>
            </w:r>
          </w:p>
        </w:tc>
        <w:tc>
          <w:tcPr>
            <w:tcW w:w="12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388</w:t>
            </w:r>
          </w:p>
        </w:tc>
        <w:tc>
          <w:tcPr>
            <w:tcW w:w="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(83)</w:t>
            </w:r>
          </w:p>
        </w:tc>
        <w:tc>
          <w:tcPr>
            <w:tcW w:w="0" w:type="dxa"/>
            <w:vAlign w:val="bottom"/>
          </w:tcPr>
          <w:p>
            <w:pPr>
              <w:spacing w:after="0"/>
              <w:rPr>
                <w:sz w:val="1"/>
                <w:szCs w:val="1"/>
                <w:color w:val="auto"/>
              </w:rPr>
            </w:pPr>
          </w:p>
        </w:tc>
      </w:tr>
      <w:tr>
        <w:trPr>
          <w:trHeight w:val="209"/>
        </w:trPr>
        <w:tc>
          <w:tcPr>
            <w:tcW w:w="6140" w:type="dxa"/>
            <w:vAlign w:val="bottom"/>
          </w:tcPr>
          <w:p>
            <w:pPr>
              <w:spacing w:after="0"/>
              <w:rPr>
                <w:sz w:val="20"/>
                <w:szCs w:val="20"/>
                <w:color w:val="auto"/>
              </w:rPr>
            </w:pPr>
            <w:r>
              <w:rPr>
                <w:rFonts w:ascii="Arial" w:cs="Arial" w:eastAsia="Arial" w:hAnsi="Arial"/>
                <w:sz w:val="16"/>
                <w:szCs w:val="16"/>
                <w:b w:val="1"/>
                <w:bCs w:val="1"/>
                <w:color w:val="auto"/>
              </w:rPr>
              <w:t>Net Income (Loss)</w:t>
            </w: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185</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(183)</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534</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(2,812)</w:t>
            </w:r>
          </w:p>
        </w:tc>
        <w:tc>
          <w:tcPr>
            <w:tcW w:w="0" w:type="dxa"/>
            <w:vAlign w:val="bottom"/>
          </w:tcPr>
          <w:p>
            <w:pPr>
              <w:spacing w:after="0"/>
              <w:rPr>
                <w:sz w:val="1"/>
                <w:szCs w:val="1"/>
                <w:color w:val="auto"/>
              </w:rPr>
            </w:pPr>
          </w:p>
        </w:tc>
      </w:tr>
      <w:tr>
        <w:trPr>
          <w:trHeight w:val="219"/>
        </w:trPr>
        <w:tc>
          <w:tcPr>
            <w:tcW w:w="6140" w:type="dxa"/>
            <w:vAlign w:val="bottom"/>
          </w:tcPr>
          <w:p>
            <w:pPr>
              <w:ind w:left="200"/>
              <w:spacing w:after="0"/>
              <w:rPr>
                <w:sz w:val="20"/>
                <w:szCs w:val="20"/>
                <w:color w:val="auto"/>
              </w:rPr>
            </w:pPr>
            <w:r>
              <w:rPr>
                <w:rFonts w:ascii="Arial" w:cs="Arial" w:eastAsia="Arial" w:hAnsi="Arial"/>
                <w:sz w:val="16"/>
                <w:szCs w:val="16"/>
                <w:color w:val="auto"/>
              </w:rPr>
              <w:t>Less: Net income (loss) attributable to noncontrolling interests</w:t>
            </w:r>
          </w:p>
        </w:tc>
        <w:tc>
          <w:tcPr>
            <w:tcW w:w="76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70</w:t>
            </w:r>
          </w:p>
        </w:tc>
        <w:tc>
          <w:tcPr>
            <w:tcW w:w="100" w:type="dxa"/>
            <w:vAlign w:val="bottom"/>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60</w:t>
            </w:r>
          </w:p>
        </w:tc>
        <w:tc>
          <w:tcPr>
            <w:tcW w:w="1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240</w:t>
            </w:r>
          </w:p>
        </w:tc>
        <w:tc>
          <w:tcPr>
            <w:tcW w:w="1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184</w:t>
            </w:r>
          </w:p>
        </w:tc>
        <w:tc>
          <w:tcPr>
            <w:tcW w:w="0" w:type="dxa"/>
            <w:vAlign w:val="bottom"/>
          </w:tcPr>
          <w:p>
            <w:pPr>
              <w:spacing w:after="0"/>
              <w:rPr>
                <w:sz w:val="1"/>
                <w:szCs w:val="1"/>
                <w:color w:val="auto"/>
              </w:rPr>
            </w:pPr>
          </w:p>
        </w:tc>
      </w:tr>
      <w:tr>
        <w:trPr>
          <w:trHeight w:val="213"/>
        </w:trPr>
        <w:tc>
          <w:tcPr>
            <w:tcW w:w="6140" w:type="dxa"/>
            <w:vAlign w:val="bottom"/>
          </w:tcPr>
          <w:p>
            <w:pPr>
              <w:spacing w:after="0"/>
              <w:rPr>
                <w:sz w:val="20"/>
                <w:szCs w:val="20"/>
                <w:color w:val="auto"/>
              </w:rPr>
            </w:pPr>
            <w:r>
              <w:rPr>
                <w:rFonts w:ascii="Arial" w:cs="Arial" w:eastAsia="Arial" w:hAnsi="Arial"/>
                <w:sz w:val="16"/>
                <w:szCs w:val="16"/>
                <w:b w:val="1"/>
                <w:bCs w:val="1"/>
                <w:color w:val="auto"/>
              </w:rPr>
              <w:t>Net Income (Loss) Attributable to Hess Corporation</w:t>
            </w:r>
          </w:p>
        </w:tc>
        <w:tc>
          <w:tcPr>
            <w:tcW w:w="760" w:type="dxa"/>
            <w:vAlign w:val="bottom"/>
            <w:tcBorders>
              <w:bottom w:val="single" w:sz="8" w:color="auto"/>
            </w:tcBorders>
          </w:tcPr>
          <w:p>
            <w:pPr>
              <w:jc w:val="right"/>
              <w:ind w:right="582"/>
              <w:spacing w:after="0"/>
              <w:rPr>
                <w:sz w:val="20"/>
                <w:szCs w:val="20"/>
                <w:color w:val="auto"/>
              </w:rPr>
            </w:pPr>
            <w:r>
              <w:rPr>
                <w:rFonts w:ascii="Arial" w:cs="Arial" w:eastAsia="Arial" w:hAnsi="Arial"/>
                <w:sz w:val="16"/>
                <w:szCs w:val="16"/>
                <w:color w:val="auto"/>
                <w:w w:val="89"/>
              </w:rPr>
              <w:t>$</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115</w:t>
            </w:r>
          </w:p>
        </w:tc>
        <w:tc>
          <w:tcPr>
            <w:tcW w:w="100" w:type="dxa"/>
            <w:vAlign w:val="bottom"/>
          </w:tcPr>
          <w:p>
            <w:pPr>
              <w:spacing w:after="0"/>
              <w:rPr>
                <w:sz w:val="18"/>
                <w:szCs w:val="18"/>
                <w:color w:val="auto"/>
              </w:rPr>
            </w:pPr>
          </w:p>
        </w:tc>
        <w:tc>
          <w:tcPr>
            <w:tcW w:w="740" w:type="dxa"/>
            <w:vAlign w:val="bottom"/>
            <w:tcBorders>
              <w:bottom w:val="single" w:sz="8" w:color="auto"/>
            </w:tcBorders>
          </w:tcPr>
          <w:p>
            <w:pPr>
              <w:jc w:val="right"/>
              <w:ind w:right="562"/>
              <w:spacing w:after="0"/>
              <w:rPr>
                <w:sz w:val="20"/>
                <w:szCs w:val="20"/>
                <w:color w:val="auto"/>
              </w:rPr>
            </w:pPr>
            <w:r>
              <w:rPr>
                <w:rFonts w:ascii="Arial" w:cs="Arial" w:eastAsia="Arial" w:hAnsi="Arial"/>
                <w:sz w:val="16"/>
                <w:szCs w:val="16"/>
                <w:color w:val="auto"/>
                <w:w w:val="89"/>
              </w:rPr>
              <w:t>$</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(243)</w:t>
            </w:r>
          </w:p>
        </w:tc>
        <w:tc>
          <w:tcPr>
            <w:tcW w:w="120" w:type="dxa"/>
            <w:vAlign w:val="bottom"/>
          </w:tcPr>
          <w:p>
            <w:pPr>
              <w:spacing w:after="0"/>
              <w:rPr>
                <w:sz w:val="18"/>
                <w:szCs w:val="18"/>
                <w:color w:val="auto"/>
              </w:rPr>
            </w:pPr>
          </w:p>
        </w:tc>
        <w:tc>
          <w:tcPr>
            <w:tcW w:w="28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294</w:t>
            </w:r>
          </w:p>
        </w:tc>
        <w:tc>
          <w:tcPr>
            <w:tcW w:w="120" w:type="dxa"/>
            <w:vAlign w:val="bottom"/>
          </w:tcPr>
          <w:p>
            <w:pPr>
              <w:spacing w:after="0"/>
              <w:rPr>
                <w:sz w:val="18"/>
                <w:szCs w:val="18"/>
                <w:color w:val="auto"/>
              </w:rPr>
            </w:pPr>
          </w:p>
        </w:tc>
        <w:tc>
          <w:tcPr>
            <w:tcW w:w="4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(2,996)</w:t>
            </w:r>
          </w:p>
        </w:tc>
        <w:tc>
          <w:tcPr>
            <w:tcW w:w="0" w:type="dxa"/>
            <w:vAlign w:val="bottom"/>
          </w:tcPr>
          <w:p>
            <w:pPr>
              <w:spacing w:after="0"/>
              <w:rPr>
                <w:sz w:val="1"/>
                <w:szCs w:val="1"/>
                <w:color w:val="auto"/>
              </w:rPr>
            </w:pPr>
          </w:p>
        </w:tc>
      </w:tr>
      <w:tr>
        <w:trPr>
          <w:trHeight w:val="20"/>
        </w:trPr>
        <w:tc>
          <w:tcPr>
            <w:tcW w:w="6140" w:type="dxa"/>
            <w:vAlign w:val="bottom"/>
            <w:vMerge w:val="restart"/>
          </w:tcPr>
          <w:p>
            <w:pPr>
              <w:spacing w:after="0"/>
              <w:rPr>
                <w:sz w:val="20"/>
                <w:szCs w:val="20"/>
                <w:color w:val="auto"/>
              </w:rPr>
            </w:pPr>
            <w:r>
              <w:rPr>
                <w:rFonts w:ascii="Arial" w:cs="Arial" w:eastAsia="Arial" w:hAnsi="Arial"/>
                <w:sz w:val="16"/>
                <w:szCs w:val="16"/>
                <w:b w:val="1"/>
                <w:bCs w:val="1"/>
                <w:color w:val="auto"/>
              </w:rPr>
              <w:t>Net Income (Loss) Attributable to Hess Corporation Per Common Share:</w:t>
            </w:r>
          </w:p>
        </w:tc>
        <w:tc>
          <w:tcPr>
            <w:tcW w:w="7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93"/>
        </w:trPr>
        <w:tc>
          <w:tcPr>
            <w:tcW w:w="6140" w:type="dxa"/>
            <w:vAlign w:val="bottom"/>
            <w:vMerge w:val="continue"/>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b w:val="1"/>
                <w:bCs w:val="1"/>
                <w:color w:val="auto"/>
              </w:rPr>
              <w:t>Basic</w:t>
            </w:r>
          </w:p>
        </w:tc>
        <w:tc>
          <w:tcPr>
            <w:tcW w:w="760" w:type="dxa"/>
            <w:vAlign w:val="bottom"/>
          </w:tcPr>
          <w:p>
            <w:pPr>
              <w:jc w:val="right"/>
              <w:ind w:right="58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rPr>
              <w:t>0.37</w:t>
            </w:r>
          </w:p>
        </w:tc>
        <w:tc>
          <w:tcPr>
            <w:tcW w:w="100" w:type="dxa"/>
            <w:vAlign w:val="bottom"/>
          </w:tcPr>
          <w:p>
            <w:pPr>
              <w:spacing w:after="0"/>
              <w:rPr>
                <w:sz w:val="18"/>
                <w:szCs w:val="18"/>
                <w:color w:val="auto"/>
              </w:rPr>
            </w:pPr>
          </w:p>
        </w:tc>
        <w:tc>
          <w:tcPr>
            <w:tcW w:w="740" w:type="dxa"/>
            <w:vAlign w:val="bottom"/>
          </w:tcPr>
          <w:p>
            <w:pPr>
              <w:jc w:val="right"/>
              <w:ind w:right="56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95"/>
              </w:rPr>
              <w:t>(0.80)</w:t>
            </w:r>
          </w:p>
        </w:tc>
        <w:tc>
          <w:tcPr>
            <w:tcW w:w="12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0.96</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(9.83)</w:t>
            </w: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b w:val="1"/>
                <w:bCs w:val="1"/>
                <w:color w:val="auto"/>
              </w:rPr>
              <w:t>Diluted</w:t>
            </w:r>
          </w:p>
        </w:tc>
        <w:tc>
          <w:tcPr>
            <w:tcW w:w="760" w:type="dxa"/>
            <w:vAlign w:val="bottom"/>
          </w:tcPr>
          <w:p>
            <w:pPr>
              <w:jc w:val="right"/>
              <w:ind w:right="58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rPr>
              <w:t>0.37</w:t>
            </w:r>
          </w:p>
        </w:tc>
        <w:tc>
          <w:tcPr>
            <w:tcW w:w="100" w:type="dxa"/>
            <w:vAlign w:val="bottom"/>
          </w:tcPr>
          <w:p>
            <w:pPr>
              <w:spacing w:after="0"/>
              <w:rPr>
                <w:sz w:val="18"/>
                <w:szCs w:val="18"/>
                <w:color w:val="auto"/>
              </w:rPr>
            </w:pPr>
          </w:p>
        </w:tc>
        <w:tc>
          <w:tcPr>
            <w:tcW w:w="740" w:type="dxa"/>
            <w:vAlign w:val="bottom"/>
          </w:tcPr>
          <w:p>
            <w:pPr>
              <w:jc w:val="right"/>
              <w:ind w:right="56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95"/>
              </w:rPr>
              <w:t>(0.80)</w:t>
            </w:r>
          </w:p>
        </w:tc>
        <w:tc>
          <w:tcPr>
            <w:tcW w:w="12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0.95</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(9.83)</w:t>
            </w:r>
          </w:p>
        </w:tc>
        <w:tc>
          <w:tcPr>
            <w:tcW w:w="0" w:type="dxa"/>
            <w:vAlign w:val="bottom"/>
          </w:tcPr>
          <w:p>
            <w:pPr>
              <w:spacing w:after="0"/>
              <w:rPr>
                <w:sz w:val="1"/>
                <w:szCs w:val="1"/>
                <w:color w:val="auto"/>
              </w:rPr>
            </w:pPr>
          </w:p>
        </w:tc>
      </w:tr>
      <w:tr>
        <w:trPr>
          <w:trHeight w:val="216"/>
        </w:trPr>
        <w:tc>
          <w:tcPr>
            <w:tcW w:w="6140" w:type="dxa"/>
            <w:vAlign w:val="bottom"/>
          </w:tcPr>
          <w:p>
            <w:pPr>
              <w:spacing w:after="0"/>
              <w:rPr>
                <w:sz w:val="20"/>
                <w:szCs w:val="20"/>
                <w:color w:val="auto"/>
              </w:rPr>
            </w:pPr>
            <w:r>
              <w:rPr>
                <w:rFonts w:ascii="Arial" w:cs="Arial" w:eastAsia="Arial" w:hAnsi="Arial"/>
                <w:sz w:val="16"/>
                <w:szCs w:val="16"/>
                <w:b w:val="1"/>
                <w:bCs w:val="1"/>
                <w:color w:val="auto"/>
              </w:rPr>
              <w:t>Weighted Average Number of Common Shares Outstanding:</w:t>
            </w: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b w:val="1"/>
                <w:bCs w:val="1"/>
                <w:color w:val="auto"/>
              </w:rPr>
              <w:t>Basic</w:t>
            </w: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4"/>
              </w:rPr>
              <w:t>308.1</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305.0</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307.1</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304.7</w:t>
            </w: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b w:val="1"/>
                <w:bCs w:val="1"/>
                <w:color w:val="auto"/>
              </w:rPr>
              <w:t>Diluted</w:t>
            </w: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4"/>
              </w:rPr>
              <w:t>309.9</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305.0</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309.1</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304.7</w:t>
            </w:r>
          </w:p>
        </w:tc>
        <w:tc>
          <w:tcPr>
            <w:tcW w:w="0" w:type="dxa"/>
            <w:vAlign w:val="bottom"/>
          </w:tcPr>
          <w:p>
            <w:pPr>
              <w:spacing w:after="0"/>
              <w:rPr>
                <w:sz w:val="1"/>
                <w:szCs w:val="1"/>
                <w:color w:val="auto"/>
              </w:rPr>
            </w:pPr>
          </w:p>
        </w:tc>
      </w:tr>
      <w:tr>
        <w:trPr>
          <w:trHeight w:val="216"/>
        </w:trPr>
        <w:tc>
          <w:tcPr>
            <w:tcW w:w="6140" w:type="dxa"/>
            <w:vAlign w:val="bottom"/>
          </w:tcPr>
          <w:p>
            <w:pPr>
              <w:spacing w:after="0"/>
              <w:rPr>
                <w:sz w:val="20"/>
                <w:szCs w:val="20"/>
                <w:color w:val="auto"/>
              </w:rPr>
            </w:pPr>
            <w:r>
              <w:rPr>
                <w:rFonts w:ascii="Arial" w:cs="Arial" w:eastAsia="Arial" w:hAnsi="Arial"/>
                <w:sz w:val="16"/>
                <w:szCs w:val="16"/>
                <w:b w:val="1"/>
                <w:bCs w:val="1"/>
                <w:color w:val="auto"/>
              </w:rPr>
              <w:t>Common Stock Dividends Per Share</w:t>
            </w:r>
          </w:p>
        </w:tc>
        <w:tc>
          <w:tcPr>
            <w:tcW w:w="760" w:type="dxa"/>
            <w:vAlign w:val="bottom"/>
          </w:tcPr>
          <w:p>
            <w:pPr>
              <w:jc w:val="right"/>
              <w:ind w:right="58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rPr>
              <w:t>0.25</w:t>
            </w:r>
          </w:p>
        </w:tc>
        <w:tc>
          <w:tcPr>
            <w:tcW w:w="100" w:type="dxa"/>
            <w:vAlign w:val="bottom"/>
          </w:tcPr>
          <w:p>
            <w:pPr>
              <w:spacing w:after="0"/>
              <w:rPr>
                <w:sz w:val="18"/>
                <w:szCs w:val="18"/>
                <w:color w:val="auto"/>
              </w:rPr>
            </w:pPr>
          </w:p>
        </w:tc>
        <w:tc>
          <w:tcPr>
            <w:tcW w:w="740" w:type="dxa"/>
            <w:vAlign w:val="bottom"/>
          </w:tcPr>
          <w:p>
            <w:pPr>
              <w:jc w:val="right"/>
              <w:ind w:right="56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rPr>
              <w:t>0.25</w:t>
            </w:r>
          </w:p>
        </w:tc>
        <w:tc>
          <w:tcPr>
            <w:tcW w:w="12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0.75</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0.75</w:t>
            </w:r>
          </w:p>
        </w:tc>
        <w:tc>
          <w:tcPr>
            <w:tcW w:w="0" w:type="dxa"/>
            <w:vAlign w:val="bottom"/>
          </w:tcPr>
          <w:p>
            <w:pPr>
              <w:spacing w:after="0"/>
              <w:rPr>
                <w:sz w:val="1"/>
                <w:szCs w:val="1"/>
                <w:color w:val="auto"/>
              </w:rPr>
            </w:pPr>
          </w:p>
        </w:tc>
      </w:tr>
    </w:tbl>
    <w:p>
      <w:pPr>
        <w:spacing w:after="0" w:line="100" w:lineRule="exact"/>
        <w:rPr>
          <w:sz w:val="20"/>
          <w:szCs w:val="20"/>
          <w:color w:val="auto"/>
        </w:rPr>
      </w:pPr>
    </w:p>
    <w:p>
      <w:pPr>
        <w:ind w:left="3640"/>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70485</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40" w:top="769" w:right="339" w:bottom="1440" w:gutter="0" w:footer="0" w:header="0"/>
        </w:sectPr>
      </w:pPr>
    </w:p>
    <w:bookmarkStart w:id="4" w:name="page5"/>
    <w:bookmarkEnd w:id="4"/>
    <w:p>
      <w:pPr>
        <w:jc w:val="center"/>
        <w:ind w:right="2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5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STATEMENT OF CONSOLIDATED COMPREHENSIVE INCOME (UNAUDITED)</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60" w:type="dxa"/>
            <w:vAlign w:val="bottom"/>
          </w:tcPr>
          <w:p>
            <w:pPr>
              <w:spacing w:after="0"/>
              <w:rPr>
                <w:sz w:val="14"/>
                <w:szCs w:val="14"/>
                <w:color w:val="auto"/>
              </w:rPr>
            </w:pPr>
          </w:p>
        </w:tc>
        <w:tc>
          <w:tcPr>
            <w:tcW w:w="2060" w:type="dxa"/>
            <w:vAlign w:val="bottom"/>
            <w:gridSpan w:val="4"/>
          </w:tcPr>
          <w:p>
            <w:pPr>
              <w:jc w:val="right"/>
              <w:ind w:right="102"/>
              <w:spacing w:after="0"/>
              <w:rPr>
                <w:sz w:val="20"/>
                <w:szCs w:val="20"/>
                <w:color w:val="auto"/>
              </w:rPr>
            </w:pPr>
            <w:r>
              <w:rPr>
                <w:rFonts w:ascii="Arial" w:cs="Arial" w:eastAsia="Arial" w:hAnsi="Arial"/>
                <w:sz w:val="14"/>
                <w:szCs w:val="14"/>
                <w:b w:val="1"/>
                <w:bCs w:val="1"/>
                <w:color w:val="auto"/>
              </w:rPr>
              <w:t>Three Months Ended</w:t>
            </w:r>
          </w:p>
        </w:tc>
        <w:tc>
          <w:tcPr>
            <w:tcW w:w="4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100" w:type="dxa"/>
            <w:vAlign w:val="bottom"/>
            <w:gridSpan w:val="4"/>
          </w:tcPr>
          <w:p>
            <w:pPr>
              <w:jc w:val="right"/>
              <w:ind w:right="539"/>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616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3"/>
          </w:tcPr>
          <w:p>
            <w:pPr>
              <w:jc w:val="right"/>
              <w:ind w:right="302"/>
              <w:spacing w:after="0"/>
              <w:rPr>
                <w:sz w:val="20"/>
                <w:szCs w:val="20"/>
                <w:color w:val="auto"/>
              </w:rPr>
            </w:pPr>
            <w:r>
              <w:rPr>
                <w:rFonts w:ascii="Arial" w:cs="Arial" w:eastAsia="Arial" w:hAnsi="Arial"/>
                <w:sz w:val="14"/>
                <w:szCs w:val="14"/>
                <w:b w:val="1"/>
                <w:bCs w:val="1"/>
                <w:color w:val="auto"/>
                <w:w w:val="93"/>
              </w:rPr>
              <w:t>September 30,</w:t>
            </w:r>
          </w:p>
        </w:tc>
        <w:tc>
          <w:tcPr>
            <w:tcW w:w="4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r>
      <w:tr>
        <w:trPr>
          <w:trHeight w:val="183"/>
        </w:trPr>
        <w:tc>
          <w:tcPr>
            <w:tcW w:w="6160" w:type="dxa"/>
            <w:vAlign w:val="bottom"/>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0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379"/>
              <w:spacing w:after="0"/>
              <w:rPr>
                <w:sz w:val="20"/>
                <w:szCs w:val="20"/>
                <w:color w:val="auto"/>
              </w:rPr>
            </w:pPr>
            <w:r>
              <w:rPr>
                <w:rFonts w:ascii="Arial" w:cs="Arial" w:eastAsia="Arial" w:hAnsi="Arial"/>
                <w:sz w:val="14"/>
                <w:szCs w:val="14"/>
                <w:b w:val="1"/>
                <w:bCs w:val="1"/>
                <w:color w:val="auto"/>
                <w:w w:val="96"/>
              </w:rPr>
              <w:t>2020</w:t>
            </w:r>
          </w:p>
        </w:tc>
      </w:tr>
      <w:tr>
        <w:trPr>
          <w:trHeight w:val="212"/>
        </w:trPr>
        <w:tc>
          <w:tcPr>
            <w:tcW w:w="6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00" w:type="dxa"/>
            <w:vAlign w:val="bottom"/>
            <w:gridSpan w:val="3"/>
          </w:tcPr>
          <w:p>
            <w:pPr>
              <w:ind w:left="100"/>
              <w:spacing w:after="0"/>
              <w:rPr>
                <w:sz w:val="20"/>
                <w:szCs w:val="20"/>
                <w:color w:val="auto"/>
              </w:rPr>
            </w:pPr>
            <w:r>
              <w:rPr>
                <w:rFonts w:ascii="Arial" w:cs="Arial" w:eastAsia="Arial" w:hAnsi="Arial"/>
                <w:sz w:val="14"/>
                <w:szCs w:val="14"/>
                <w:b w:val="1"/>
                <w:bCs w:val="1"/>
                <w:color w:val="auto"/>
                <w:w w:val="99"/>
              </w:rPr>
              <w:t>(In millions)</w:t>
            </w: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22"/>
        </w:trPr>
        <w:tc>
          <w:tcPr>
            <w:tcW w:w="6160" w:type="dxa"/>
            <w:vAlign w:val="bottom"/>
          </w:tcPr>
          <w:p>
            <w:pPr>
              <w:spacing w:after="0"/>
              <w:rPr>
                <w:sz w:val="20"/>
                <w:szCs w:val="20"/>
                <w:color w:val="auto"/>
              </w:rPr>
            </w:pPr>
            <w:r>
              <w:rPr>
                <w:rFonts w:ascii="Arial" w:cs="Arial" w:eastAsia="Arial" w:hAnsi="Arial"/>
                <w:sz w:val="16"/>
                <w:szCs w:val="16"/>
                <w:b w:val="1"/>
                <w:bCs w:val="1"/>
                <w:color w:val="auto"/>
              </w:rPr>
              <w:t>Net Income (Loss)</w:t>
            </w:r>
          </w:p>
        </w:tc>
        <w:tc>
          <w:tcPr>
            <w:tcW w:w="760" w:type="dxa"/>
            <w:vAlign w:val="bottom"/>
            <w:tcBorders>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185</w:t>
            </w:r>
          </w:p>
        </w:tc>
        <w:tc>
          <w:tcPr>
            <w:tcW w:w="100" w:type="dxa"/>
            <w:vAlign w:val="bottom"/>
          </w:tcPr>
          <w:p>
            <w:pPr>
              <w:spacing w:after="0"/>
              <w:rPr>
                <w:sz w:val="19"/>
                <w:szCs w:val="19"/>
                <w:color w:val="auto"/>
              </w:rPr>
            </w:pPr>
          </w:p>
        </w:tc>
        <w:tc>
          <w:tcPr>
            <w:tcW w:w="780" w:type="dxa"/>
            <w:vAlign w:val="bottom"/>
            <w:tcBorders>
              <w:bottom w:val="single" w:sz="8" w:color="auto"/>
            </w:tcBorders>
          </w:tcPr>
          <w:p>
            <w:pPr>
              <w:jc w:val="right"/>
              <w:ind w:right="602"/>
              <w:spacing w:after="0"/>
              <w:rPr>
                <w:sz w:val="20"/>
                <w:szCs w:val="20"/>
                <w:color w:val="auto"/>
              </w:rPr>
            </w:pPr>
            <w:r>
              <w:rPr>
                <w:rFonts w:ascii="Arial" w:cs="Arial" w:eastAsia="Arial" w:hAnsi="Arial"/>
                <w:sz w:val="16"/>
                <w:szCs w:val="16"/>
                <w:color w:val="auto"/>
                <w:w w:val="89"/>
              </w:rPr>
              <w:t>$</w:t>
            </w: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6"/>
              </w:rPr>
              <w:t>(183)</w:t>
            </w:r>
          </w:p>
        </w:tc>
        <w:tc>
          <w:tcPr>
            <w:tcW w:w="120" w:type="dxa"/>
            <w:vAlign w:val="bottom"/>
          </w:tcPr>
          <w:p>
            <w:pPr>
              <w:spacing w:after="0"/>
              <w:rPr>
                <w:sz w:val="19"/>
                <w:szCs w:val="19"/>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534</w:t>
            </w:r>
          </w:p>
        </w:tc>
        <w:tc>
          <w:tcPr>
            <w:tcW w:w="120" w:type="dxa"/>
            <w:vAlign w:val="bottom"/>
          </w:tcPr>
          <w:p>
            <w:pPr>
              <w:spacing w:after="0"/>
              <w:rPr>
                <w:sz w:val="19"/>
                <w:szCs w:val="19"/>
                <w:color w:val="auto"/>
              </w:rPr>
            </w:pPr>
          </w:p>
        </w:tc>
        <w:tc>
          <w:tcPr>
            <w:tcW w:w="4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(2,812)</w:t>
            </w:r>
          </w:p>
        </w:tc>
      </w:tr>
      <w:tr>
        <w:trPr>
          <w:trHeight w:val="196"/>
        </w:trPr>
        <w:tc>
          <w:tcPr>
            <w:tcW w:w="6160" w:type="dxa"/>
            <w:vAlign w:val="bottom"/>
          </w:tcPr>
          <w:p>
            <w:pPr>
              <w:ind w:left="200"/>
              <w:spacing w:after="0"/>
              <w:rPr>
                <w:sz w:val="20"/>
                <w:szCs w:val="20"/>
                <w:color w:val="auto"/>
              </w:rPr>
            </w:pPr>
            <w:r>
              <w:rPr>
                <w:rFonts w:ascii="Arial" w:cs="Arial" w:eastAsia="Arial" w:hAnsi="Arial"/>
                <w:sz w:val="16"/>
                <w:szCs w:val="16"/>
                <w:b w:val="1"/>
                <w:bCs w:val="1"/>
                <w:color w:val="auto"/>
              </w:rPr>
              <w:t>Other Comprehensive Income (Loss):</w:t>
            </w:r>
          </w:p>
        </w:tc>
        <w:tc>
          <w:tcPr>
            <w:tcW w:w="7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80" w:type="dxa"/>
            <w:vAlign w:val="bottom"/>
          </w:tcPr>
          <w:p>
            <w:pPr>
              <w:spacing w:after="0"/>
              <w:rPr>
                <w:sz w:val="17"/>
                <w:szCs w:val="17"/>
                <w:color w:val="auto"/>
              </w:rPr>
            </w:pPr>
          </w:p>
        </w:tc>
      </w:tr>
      <w:tr>
        <w:trPr>
          <w:trHeight w:val="216"/>
        </w:trPr>
        <w:tc>
          <w:tcPr>
            <w:tcW w:w="6160" w:type="dxa"/>
            <w:vAlign w:val="bottom"/>
          </w:tcPr>
          <w:p>
            <w:pPr>
              <w:ind w:left="460"/>
              <w:spacing w:after="0"/>
              <w:rPr>
                <w:sz w:val="20"/>
                <w:szCs w:val="20"/>
                <w:color w:val="auto"/>
              </w:rPr>
            </w:pPr>
            <w:r>
              <w:rPr>
                <w:rFonts w:ascii="Arial" w:cs="Arial" w:eastAsia="Arial" w:hAnsi="Arial"/>
                <w:sz w:val="16"/>
                <w:szCs w:val="16"/>
                <w:b w:val="1"/>
                <w:bCs w:val="1"/>
                <w:color w:val="auto"/>
              </w:rPr>
              <w:t>Derivatives designated as cash flow hedges</w:t>
            </w:r>
          </w:p>
        </w:tc>
        <w:tc>
          <w:tcPr>
            <w:tcW w:w="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16"/>
        </w:trPr>
        <w:tc>
          <w:tcPr>
            <w:tcW w:w="6160" w:type="dxa"/>
            <w:vAlign w:val="bottom"/>
          </w:tcPr>
          <w:p>
            <w:pPr>
              <w:ind w:left="660"/>
              <w:spacing w:after="0"/>
              <w:rPr>
                <w:sz w:val="20"/>
                <w:szCs w:val="20"/>
                <w:color w:val="auto"/>
              </w:rPr>
            </w:pPr>
            <w:r>
              <w:rPr>
                <w:rFonts w:ascii="Arial" w:cs="Arial" w:eastAsia="Arial" w:hAnsi="Arial"/>
                <w:sz w:val="16"/>
                <w:szCs w:val="16"/>
                <w:color w:val="auto"/>
              </w:rPr>
              <w:t>Effect of hedge (gains) losses reclassified to income</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64</w:t>
            </w: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6"/>
                <w:szCs w:val="16"/>
                <w:color w:val="auto"/>
                <w:w w:val="96"/>
              </w:rPr>
              <w:t>(143)</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179</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(435)</w:t>
            </w:r>
          </w:p>
        </w:tc>
      </w:tr>
      <w:tr>
        <w:trPr>
          <w:trHeight w:val="216"/>
        </w:trPr>
        <w:tc>
          <w:tcPr>
            <w:tcW w:w="6160" w:type="dxa"/>
            <w:vAlign w:val="bottom"/>
          </w:tcPr>
          <w:p>
            <w:pPr>
              <w:ind w:left="660"/>
              <w:spacing w:after="0"/>
              <w:rPr>
                <w:sz w:val="20"/>
                <w:szCs w:val="20"/>
                <w:color w:val="auto"/>
              </w:rPr>
            </w:pPr>
            <w:r>
              <w:rPr>
                <w:rFonts w:ascii="Arial" w:cs="Arial" w:eastAsia="Arial" w:hAnsi="Arial"/>
                <w:sz w:val="16"/>
                <w:szCs w:val="16"/>
                <w:color w:val="auto"/>
              </w:rPr>
              <w:t>Income taxes on effect of hedge (gains) losses reclassified to income</w:t>
            </w:r>
          </w:p>
        </w:tc>
        <w:tc>
          <w:tcPr>
            <w:tcW w:w="7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780" w:type="dxa"/>
            <w:vAlign w:val="bottom"/>
          </w:tcPr>
          <w:p>
            <w:pPr>
              <w:spacing w:after="0"/>
              <w:rPr>
                <w:sz w:val="18"/>
                <w:szCs w:val="18"/>
                <w:color w:val="auto"/>
              </w:rPr>
            </w:pPr>
          </w:p>
        </w:tc>
        <w:tc>
          <w:tcPr>
            <w:tcW w:w="520" w:type="dxa"/>
            <w:vAlign w:val="bottom"/>
            <w:gridSpan w:val="2"/>
          </w:tcPr>
          <w:p>
            <w:pPr>
              <w:ind w:left="18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09"/>
        </w:trPr>
        <w:tc>
          <w:tcPr>
            <w:tcW w:w="6160" w:type="dxa"/>
            <w:vAlign w:val="bottom"/>
          </w:tcPr>
          <w:p>
            <w:pPr>
              <w:ind w:left="980"/>
              <w:spacing w:after="0"/>
              <w:rPr>
                <w:sz w:val="20"/>
                <w:szCs w:val="20"/>
                <w:color w:val="auto"/>
              </w:rPr>
            </w:pPr>
            <w:r>
              <w:rPr>
                <w:rFonts w:ascii="Arial" w:cs="Arial" w:eastAsia="Arial" w:hAnsi="Arial"/>
                <w:sz w:val="16"/>
                <w:szCs w:val="16"/>
                <w:color w:val="auto"/>
              </w:rPr>
              <w:t>Net effect of hedge (gains) losses reclassified to income</w:t>
            </w:r>
          </w:p>
        </w:tc>
        <w:tc>
          <w:tcPr>
            <w:tcW w:w="760" w:type="dxa"/>
            <w:vAlign w:val="bottom"/>
            <w:tcBorders>
              <w:top w:val="single" w:sz="8" w:color="auto"/>
              <w:bottom w:val="single" w:sz="8" w:color="auto"/>
            </w:tcBorders>
          </w:tcPr>
          <w:p>
            <w:pPr>
              <w:spacing w:after="0"/>
              <w:rPr>
                <w:sz w:val="18"/>
                <w:szCs w:val="18"/>
                <w:color w:val="auto"/>
              </w:rPr>
            </w:pP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64</w:t>
            </w:r>
          </w:p>
        </w:tc>
        <w:tc>
          <w:tcPr>
            <w:tcW w:w="100" w:type="dxa"/>
            <w:vAlign w:val="bottom"/>
          </w:tcPr>
          <w:p>
            <w:pPr>
              <w:spacing w:after="0"/>
              <w:rPr>
                <w:sz w:val="18"/>
                <w:szCs w:val="18"/>
                <w:color w:val="auto"/>
              </w:rPr>
            </w:pPr>
          </w:p>
        </w:tc>
        <w:tc>
          <w:tcPr>
            <w:tcW w:w="780" w:type="dxa"/>
            <w:vAlign w:val="bottom"/>
            <w:tcBorders>
              <w:top w:val="single" w:sz="8" w:color="auto"/>
              <w:bottom w:val="single" w:sz="8" w:color="auto"/>
            </w:tcBorders>
          </w:tcPr>
          <w:p>
            <w:pPr>
              <w:spacing w:after="0"/>
              <w:rPr>
                <w:sz w:val="18"/>
                <w:szCs w:val="18"/>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96"/>
              </w:rPr>
              <w:t>(143)</w:t>
            </w:r>
          </w:p>
        </w:tc>
        <w:tc>
          <w:tcPr>
            <w:tcW w:w="120" w:type="dxa"/>
            <w:vAlign w:val="bottom"/>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179</w:t>
            </w:r>
          </w:p>
        </w:tc>
        <w:tc>
          <w:tcPr>
            <w:tcW w:w="120" w:type="dxa"/>
            <w:vAlign w:val="bottom"/>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(435)</w:t>
            </w:r>
          </w:p>
        </w:tc>
      </w:tr>
      <w:tr>
        <w:trPr>
          <w:trHeight w:val="210"/>
        </w:trPr>
        <w:tc>
          <w:tcPr>
            <w:tcW w:w="6160" w:type="dxa"/>
            <w:vAlign w:val="bottom"/>
          </w:tcPr>
          <w:p>
            <w:pPr>
              <w:ind w:left="660"/>
              <w:spacing w:after="0"/>
              <w:rPr>
                <w:sz w:val="20"/>
                <w:szCs w:val="20"/>
                <w:color w:val="auto"/>
              </w:rPr>
            </w:pPr>
            <w:r>
              <w:rPr>
                <w:rFonts w:ascii="Arial" w:cs="Arial" w:eastAsia="Arial" w:hAnsi="Arial"/>
                <w:sz w:val="16"/>
                <w:szCs w:val="16"/>
                <w:color w:val="auto"/>
              </w:rPr>
              <w:t>Change in fair value of cash flow hedges</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(40)</w:t>
            </w: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6"/>
                <w:szCs w:val="16"/>
                <w:color w:val="auto"/>
              </w:rPr>
              <w:t>(44)</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(271)</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732</w:t>
            </w:r>
          </w:p>
        </w:tc>
      </w:tr>
      <w:tr>
        <w:trPr>
          <w:trHeight w:val="216"/>
        </w:trPr>
        <w:tc>
          <w:tcPr>
            <w:tcW w:w="6160" w:type="dxa"/>
            <w:vAlign w:val="bottom"/>
          </w:tcPr>
          <w:p>
            <w:pPr>
              <w:ind w:left="660"/>
              <w:spacing w:after="0"/>
              <w:rPr>
                <w:sz w:val="20"/>
                <w:szCs w:val="20"/>
                <w:color w:val="auto"/>
              </w:rPr>
            </w:pPr>
            <w:r>
              <w:rPr>
                <w:rFonts w:ascii="Arial" w:cs="Arial" w:eastAsia="Arial" w:hAnsi="Arial"/>
                <w:sz w:val="16"/>
                <w:szCs w:val="16"/>
                <w:color w:val="auto"/>
              </w:rPr>
              <w:t>Income taxes on change in fair value of cash flow hedges</w:t>
            </w:r>
          </w:p>
        </w:tc>
        <w:tc>
          <w:tcPr>
            <w:tcW w:w="7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780" w:type="dxa"/>
            <w:vAlign w:val="bottom"/>
          </w:tcPr>
          <w:p>
            <w:pPr>
              <w:spacing w:after="0"/>
              <w:rPr>
                <w:sz w:val="18"/>
                <w:szCs w:val="18"/>
                <w:color w:val="auto"/>
              </w:rPr>
            </w:pPr>
          </w:p>
        </w:tc>
        <w:tc>
          <w:tcPr>
            <w:tcW w:w="520" w:type="dxa"/>
            <w:vAlign w:val="bottom"/>
            <w:gridSpan w:val="2"/>
          </w:tcPr>
          <w:p>
            <w:pPr>
              <w:ind w:left="18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09"/>
        </w:trPr>
        <w:tc>
          <w:tcPr>
            <w:tcW w:w="6160" w:type="dxa"/>
            <w:vAlign w:val="bottom"/>
          </w:tcPr>
          <w:p>
            <w:pPr>
              <w:ind w:left="980"/>
              <w:spacing w:after="0"/>
              <w:rPr>
                <w:sz w:val="20"/>
                <w:szCs w:val="20"/>
                <w:color w:val="auto"/>
              </w:rPr>
            </w:pPr>
            <w:r>
              <w:rPr>
                <w:rFonts w:ascii="Arial" w:cs="Arial" w:eastAsia="Arial" w:hAnsi="Arial"/>
                <w:sz w:val="16"/>
                <w:szCs w:val="16"/>
                <w:color w:val="auto"/>
              </w:rPr>
              <w:t>Net change in fair value of cash flow hedges</w:t>
            </w:r>
          </w:p>
        </w:tc>
        <w:tc>
          <w:tcPr>
            <w:tcW w:w="760" w:type="dxa"/>
            <w:vAlign w:val="bottom"/>
            <w:tcBorders>
              <w:top w:val="single" w:sz="8" w:color="auto"/>
              <w:bottom w:val="single" w:sz="8" w:color="auto"/>
            </w:tcBorders>
          </w:tcPr>
          <w:p>
            <w:pPr>
              <w:spacing w:after="0"/>
              <w:rPr>
                <w:sz w:val="18"/>
                <w:szCs w:val="18"/>
                <w:color w:val="auto"/>
              </w:rPr>
            </w:pP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(40)</w:t>
            </w:r>
          </w:p>
        </w:tc>
        <w:tc>
          <w:tcPr>
            <w:tcW w:w="100" w:type="dxa"/>
            <w:vAlign w:val="bottom"/>
          </w:tcPr>
          <w:p>
            <w:pPr>
              <w:spacing w:after="0"/>
              <w:rPr>
                <w:sz w:val="18"/>
                <w:szCs w:val="18"/>
                <w:color w:val="auto"/>
              </w:rPr>
            </w:pPr>
          </w:p>
        </w:tc>
        <w:tc>
          <w:tcPr>
            <w:tcW w:w="780" w:type="dxa"/>
            <w:vAlign w:val="bottom"/>
            <w:tcBorders>
              <w:top w:val="single" w:sz="8" w:color="auto"/>
              <w:bottom w:val="single" w:sz="8" w:color="auto"/>
            </w:tcBorders>
          </w:tcPr>
          <w:p>
            <w:pPr>
              <w:spacing w:after="0"/>
              <w:rPr>
                <w:sz w:val="18"/>
                <w:szCs w:val="18"/>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(44)</w:t>
            </w:r>
          </w:p>
        </w:tc>
        <w:tc>
          <w:tcPr>
            <w:tcW w:w="120" w:type="dxa"/>
            <w:vAlign w:val="bottom"/>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(271)</w:t>
            </w:r>
          </w:p>
        </w:tc>
        <w:tc>
          <w:tcPr>
            <w:tcW w:w="120" w:type="dxa"/>
            <w:vAlign w:val="bottom"/>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732</w:t>
            </w:r>
          </w:p>
        </w:tc>
      </w:tr>
      <w:tr>
        <w:trPr>
          <w:trHeight w:val="210"/>
        </w:trPr>
        <w:tc>
          <w:tcPr>
            <w:tcW w:w="6160" w:type="dxa"/>
            <w:vAlign w:val="bottom"/>
          </w:tcPr>
          <w:p>
            <w:pPr>
              <w:ind w:left="460"/>
              <w:spacing w:after="0"/>
              <w:rPr>
                <w:sz w:val="20"/>
                <w:szCs w:val="20"/>
                <w:color w:val="auto"/>
              </w:rPr>
            </w:pPr>
            <w:r>
              <w:rPr>
                <w:rFonts w:ascii="Arial" w:cs="Arial" w:eastAsia="Arial" w:hAnsi="Arial"/>
                <w:sz w:val="16"/>
                <w:szCs w:val="16"/>
                <w:b w:val="1"/>
                <w:bCs w:val="1"/>
                <w:color w:val="auto"/>
              </w:rPr>
              <w:t>Change in derivatives designated as cash flow hedges, after taxes</w:t>
            </w: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w:t>
            </w:r>
          </w:p>
        </w:tc>
        <w:tc>
          <w:tcPr>
            <w:tcW w:w="100" w:type="dxa"/>
            <w:vAlign w:val="bottom"/>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6"/>
              </w:rPr>
              <w:t>(187)</w:t>
            </w:r>
          </w:p>
        </w:tc>
        <w:tc>
          <w:tcPr>
            <w:tcW w:w="1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(92)</w:t>
            </w:r>
          </w:p>
        </w:tc>
        <w:tc>
          <w:tcPr>
            <w:tcW w:w="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297</w:t>
            </w:r>
          </w:p>
        </w:tc>
      </w:tr>
      <w:tr>
        <w:trPr>
          <w:trHeight w:val="196"/>
        </w:trPr>
        <w:tc>
          <w:tcPr>
            <w:tcW w:w="6160" w:type="dxa"/>
            <w:vAlign w:val="bottom"/>
          </w:tcPr>
          <w:p>
            <w:pPr>
              <w:ind w:left="460"/>
              <w:spacing w:after="0"/>
              <w:rPr>
                <w:sz w:val="20"/>
                <w:szCs w:val="20"/>
                <w:color w:val="auto"/>
              </w:rPr>
            </w:pPr>
            <w:r>
              <w:rPr>
                <w:rFonts w:ascii="Arial" w:cs="Arial" w:eastAsia="Arial" w:hAnsi="Arial"/>
                <w:sz w:val="16"/>
                <w:szCs w:val="16"/>
                <w:b w:val="1"/>
                <w:bCs w:val="1"/>
                <w:color w:val="auto"/>
              </w:rPr>
              <w:t>Pension and other postretirement plans</w:t>
            </w:r>
          </w:p>
        </w:tc>
        <w:tc>
          <w:tcPr>
            <w:tcW w:w="7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80" w:type="dxa"/>
            <w:vAlign w:val="bottom"/>
          </w:tcPr>
          <w:p>
            <w:pPr>
              <w:spacing w:after="0"/>
              <w:rPr>
                <w:sz w:val="17"/>
                <w:szCs w:val="17"/>
                <w:color w:val="auto"/>
              </w:rPr>
            </w:pPr>
          </w:p>
        </w:tc>
      </w:tr>
      <w:tr>
        <w:trPr>
          <w:trHeight w:val="216"/>
        </w:trPr>
        <w:tc>
          <w:tcPr>
            <w:tcW w:w="6160" w:type="dxa"/>
            <w:vAlign w:val="bottom"/>
          </w:tcPr>
          <w:p>
            <w:pPr>
              <w:ind w:left="660"/>
              <w:spacing w:after="0"/>
              <w:rPr>
                <w:sz w:val="20"/>
                <w:szCs w:val="20"/>
                <w:color w:val="auto"/>
              </w:rPr>
            </w:pPr>
            <w:r>
              <w:rPr>
                <w:rFonts w:ascii="Arial" w:cs="Arial" w:eastAsia="Arial" w:hAnsi="Arial"/>
                <w:sz w:val="16"/>
                <w:szCs w:val="16"/>
                <w:color w:val="auto"/>
              </w:rPr>
              <w:t>(Increase) reduction in unrecognized actuarial losses</w:t>
            </w:r>
          </w:p>
        </w:tc>
        <w:tc>
          <w:tcPr>
            <w:tcW w:w="7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780" w:type="dxa"/>
            <w:vAlign w:val="bottom"/>
          </w:tcPr>
          <w:p>
            <w:pPr>
              <w:spacing w:after="0"/>
              <w:rPr>
                <w:sz w:val="18"/>
                <w:szCs w:val="18"/>
                <w:color w:val="auto"/>
              </w:rPr>
            </w:pPr>
          </w:p>
        </w:tc>
        <w:tc>
          <w:tcPr>
            <w:tcW w:w="520" w:type="dxa"/>
            <w:vAlign w:val="bottom"/>
            <w:gridSpan w:val="2"/>
          </w:tcPr>
          <w:p>
            <w:pPr>
              <w:ind w:left="18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w:t>
            </w:r>
          </w:p>
        </w:tc>
      </w:tr>
      <w:tr>
        <w:trPr>
          <w:trHeight w:val="216"/>
        </w:trPr>
        <w:tc>
          <w:tcPr>
            <w:tcW w:w="6160" w:type="dxa"/>
            <w:vAlign w:val="bottom"/>
          </w:tcPr>
          <w:p>
            <w:pPr>
              <w:ind w:left="660"/>
              <w:spacing w:after="0"/>
              <w:rPr>
                <w:sz w:val="20"/>
                <w:szCs w:val="20"/>
                <w:color w:val="auto"/>
              </w:rPr>
            </w:pPr>
            <w:r>
              <w:rPr>
                <w:rFonts w:ascii="Arial" w:cs="Arial" w:eastAsia="Arial" w:hAnsi="Arial"/>
                <w:sz w:val="16"/>
                <w:szCs w:val="16"/>
                <w:color w:val="auto"/>
              </w:rPr>
              <w:t>Income taxes on actuarial changes in plan liabilities</w:t>
            </w: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ind w:lef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r>
      <w:tr>
        <w:trPr>
          <w:trHeight w:val="210"/>
        </w:trPr>
        <w:tc>
          <w:tcPr>
            <w:tcW w:w="6160" w:type="dxa"/>
            <w:vAlign w:val="bottom"/>
          </w:tcPr>
          <w:p>
            <w:pPr>
              <w:ind w:left="980"/>
              <w:spacing w:after="0"/>
              <w:rPr>
                <w:sz w:val="20"/>
                <w:szCs w:val="20"/>
                <w:color w:val="auto"/>
              </w:rPr>
            </w:pPr>
            <w:r>
              <w:rPr>
                <w:rFonts w:ascii="Arial" w:cs="Arial" w:eastAsia="Arial" w:hAnsi="Arial"/>
                <w:sz w:val="16"/>
                <w:szCs w:val="16"/>
                <w:color w:val="auto"/>
              </w:rPr>
              <w:t>(Increase) reduction in unrecognized actuarial losses, net</w:t>
            </w:r>
          </w:p>
        </w:tc>
        <w:tc>
          <w:tcPr>
            <w:tcW w:w="7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780" w:type="dxa"/>
            <w:vAlign w:val="bottom"/>
          </w:tcPr>
          <w:p>
            <w:pPr>
              <w:spacing w:after="0"/>
              <w:rPr>
                <w:sz w:val="18"/>
                <w:szCs w:val="18"/>
                <w:color w:val="auto"/>
              </w:rPr>
            </w:pPr>
          </w:p>
        </w:tc>
        <w:tc>
          <w:tcPr>
            <w:tcW w:w="520" w:type="dxa"/>
            <w:vAlign w:val="bottom"/>
            <w:gridSpan w:val="2"/>
          </w:tcPr>
          <w:p>
            <w:pPr>
              <w:ind w:left="18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w:t>
            </w:r>
          </w:p>
        </w:tc>
      </w:tr>
      <w:tr>
        <w:trPr>
          <w:trHeight w:val="209"/>
        </w:trPr>
        <w:tc>
          <w:tcPr>
            <w:tcW w:w="6160" w:type="dxa"/>
            <w:vAlign w:val="bottom"/>
          </w:tcPr>
          <w:p>
            <w:pPr>
              <w:ind w:left="660"/>
              <w:spacing w:after="0"/>
              <w:rPr>
                <w:sz w:val="20"/>
                <w:szCs w:val="20"/>
                <w:color w:val="auto"/>
              </w:rPr>
            </w:pPr>
            <w:r>
              <w:rPr>
                <w:rFonts w:ascii="Arial" w:cs="Arial" w:eastAsia="Arial" w:hAnsi="Arial"/>
                <w:sz w:val="16"/>
                <w:szCs w:val="16"/>
                <w:color w:val="auto"/>
              </w:rPr>
              <w:t>Amortization of net actuarial losses</w:t>
            </w:r>
          </w:p>
        </w:tc>
        <w:tc>
          <w:tcPr>
            <w:tcW w:w="76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16</w:t>
            </w:r>
          </w:p>
        </w:tc>
        <w:tc>
          <w:tcPr>
            <w:tcW w:w="100" w:type="dxa"/>
            <w:vAlign w:val="bottom"/>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ind w:left="180"/>
              <w:spacing w:after="0"/>
              <w:rPr>
                <w:sz w:val="20"/>
                <w:szCs w:val="20"/>
                <w:color w:val="auto"/>
              </w:rPr>
            </w:pPr>
            <w:r>
              <w:rPr>
                <w:rFonts w:ascii="Arial" w:cs="Arial" w:eastAsia="Arial" w:hAnsi="Arial"/>
                <w:sz w:val="16"/>
                <w:szCs w:val="16"/>
                <w:color w:val="auto"/>
              </w:rPr>
              <w:t>11</w:t>
            </w:r>
          </w:p>
        </w:tc>
        <w:tc>
          <w:tcPr>
            <w:tcW w:w="12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48</w:t>
            </w:r>
          </w:p>
        </w:tc>
        <w:tc>
          <w:tcPr>
            <w:tcW w:w="1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35</w:t>
            </w:r>
          </w:p>
        </w:tc>
      </w:tr>
      <w:tr>
        <w:trPr>
          <w:trHeight w:val="216"/>
        </w:trPr>
        <w:tc>
          <w:tcPr>
            <w:tcW w:w="6160" w:type="dxa"/>
            <w:vAlign w:val="bottom"/>
          </w:tcPr>
          <w:p>
            <w:pPr>
              <w:ind w:left="660"/>
              <w:spacing w:after="0"/>
              <w:rPr>
                <w:sz w:val="20"/>
                <w:szCs w:val="20"/>
                <w:color w:val="auto"/>
              </w:rPr>
            </w:pPr>
            <w:r>
              <w:rPr>
                <w:rFonts w:ascii="Arial" w:cs="Arial" w:eastAsia="Arial" w:hAnsi="Arial"/>
                <w:sz w:val="16"/>
                <w:szCs w:val="16"/>
                <w:color w:val="auto"/>
              </w:rPr>
              <w:t>Income taxes on amortization of net actuarial losses</w:t>
            </w:r>
          </w:p>
        </w:tc>
        <w:tc>
          <w:tcPr>
            <w:tcW w:w="7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780" w:type="dxa"/>
            <w:vAlign w:val="bottom"/>
          </w:tcPr>
          <w:p>
            <w:pPr>
              <w:spacing w:after="0"/>
              <w:rPr>
                <w:sz w:val="18"/>
                <w:szCs w:val="18"/>
                <w:color w:val="auto"/>
              </w:rPr>
            </w:pPr>
          </w:p>
        </w:tc>
        <w:tc>
          <w:tcPr>
            <w:tcW w:w="520" w:type="dxa"/>
            <w:vAlign w:val="bottom"/>
            <w:gridSpan w:val="2"/>
          </w:tcPr>
          <w:p>
            <w:pPr>
              <w:ind w:left="18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09"/>
        </w:trPr>
        <w:tc>
          <w:tcPr>
            <w:tcW w:w="6160" w:type="dxa"/>
            <w:vAlign w:val="bottom"/>
          </w:tcPr>
          <w:p>
            <w:pPr>
              <w:ind w:left="980"/>
              <w:spacing w:after="0"/>
              <w:rPr>
                <w:sz w:val="20"/>
                <w:szCs w:val="20"/>
                <w:color w:val="auto"/>
              </w:rPr>
            </w:pPr>
            <w:r>
              <w:rPr>
                <w:rFonts w:ascii="Arial" w:cs="Arial" w:eastAsia="Arial" w:hAnsi="Arial"/>
                <w:sz w:val="16"/>
                <w:szCs w:val="16"/>
                <w:color w:val="auto"/>
              </w:rPr>
              <w:t>Net effect of amortization of net actuarial losses</w:t>
            </w:r>
          </w:p>
        </w:tc>
        <w:tc>
          <w:tcPr>
            <w:tcW w:w="760" w:type="dxa"/>
            <w:vAlign w:val="bottom"/>
            <w:tcBorders>
              <w:top w:val="single" w:sz="8" w:color="auto"/>
              <w:bottom w:val="single" w:sz="8" w:color="auto"/>
            </w:tcBorders>
          </w:tcPr>
          <w:p>
            <w:pPr>
              <w:spacing w:after="0"/>
              <w:rPr>
                <w:sz w:val="18"/>
                <w:szCs w:val="18"/>
                <w:color w:val="auto"/>
              </w:rPr>
            </w:pP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16</w:t>
            </w:r>
          </w:p>
        </w:tc>
        <w:tc>
          <w:tcPr>
            <w:tcW w:w="100" w:type="dxa"/>
            <w:vAlign w:val="bottom"/>
          </w:tcPr>
          <w:p>
            <w:pPr>
              <w:spacing w:after="0"/>
              <w:rPr>
                <w:sz w:val="18"/>
                <w:szCs w:val="18"/>
                <w:color w:val="auto"/>
              </w:rPr>
            </w:pPr>
          </w:p>
        </w:tc>
        <w:tc>
          <w:tcPr>
            <w:tcW w:w="780" w:type="dxa"/>
            <w:vAlign w:val="bottom"/>
            <w:tcBorders>
              <w:top w:val="single" w:sz="8" w:color="auto"/>
              <w:bottom w:val="single" w:sz="8" w:color="auto"/>
            </w:tcBorders>
          </w:tcPr>
          <w:p>
            <w:pPr>
              <w:spacing w:after="0"/>
              <w:rPr>
                <w:sz w:val="18"/>
                <w:szCs w:val="18"/>
                <w:color w:val="auto"/>
              </w:rPr>
            </w:pPr>
          </w:p>
        </w:tc>
        <w:tc>
          <w:tcPr>
            <w:tcW w:w="400" w:type="dxa"/>
            <w:vAlign w:val="bottom"/>
            <w:tcBorders>
              <w:top w:val="single" w:sz="8" w:color="auto"/>
              <w:bottom w:val="single" w:sz="8" w:color="auto"/>
            </w:tcBorders>
          </w:tcPr>
          <w:p>
            <w:pPr>
              <w:ind w:left="180"/>
              <w:spacing w:after="0"/>
              <w:rPr>
                <w:sz w:val="20"/>
                <w:szCs w:val="20"/>
                <w:color w:val="auto"/>
              </w:rPr>
            </w:pPr>
            <w:r>
              <w:rPr>
                <w:rFonts w:ascii="Arial" w:cs="Arial" w:eastAsia="Arial" w:hAnsi="Arial"/>
                <w:sz w:val="16"/>
                <w:szCs w:val="16"/>
                <w:color w:val="auto"/>
              </w:rPr>
              <w:t>11</w:t>
            </w:r>
          </w:p>
        </w:tc>
        <w:tc>
          <w:tcPr>
            <w:tcW w:w="120" w:type="dxa"/>
            <w:vAlign w:val="bottom"/>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48</w:t>
            </w:r>
          </w:p>
        </w:tc>
        <w:tc>
          <w:tcPr>
            <w:tcW w:w="120" w:type="dxa"/>
            <w:vAlign w:val="bottom"/>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35</w:t>
            </w:r>
          </w:p>
        </w:tc>
      </w:tr>
      <w:tr>
        <w:trPr>
          <w:trHeight w:val="210"/>
        </w:trPr>
        <w:tc>
          <w:tcPr>
            <w:tcW w:w="6160" w:type="dxa"/>
            <w:vAlign w:val="bottom"/>
          </w:tcPr>
          <w:p>
            <w:pPr>
              <w:ind w:left="460"/>
              <w:spacing w:after="0"/>
              <w:rPr>
                <w:sz w:val="20"/>
                <w:szCs w:val="20"/>
                <w:color w:val="auto"/>
              </w:rPr>
            </w:pPr>
            <w:r>
              <w:rPr>
                <w:rFonts w:ascii="Arial" w:cs="Arial" w:eastAsia="Arial" w:hAnsi="Arial"/>
                <w:sz w:val="16"/>
                <w:szCs w:val="16"/>
                <w:b w:val="1"/>
                <w:bCs w:val="1"/>
                <w:color w:val="auto"/>
              </w:rPr>
              <w:t>Change in pension and other postretirement plans, after taxes</w:t>
            </w: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w:t>
            </w:r>
          </w:p>
        </w:tc>
        <w:tc>
          <w:tcPr>
            <w:tcW w:w="100" w:type="dxa"/>
            <w:vAlign w:val="bottom"/>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ind w:left="180"/>
              <w:spacing w:after="0"/>
              <w:rPr>
                <w:sz w:val="20"/>
                <w:szCs w:val="20"/>
                <w:color w:val="auto"/>
              </w:rPr>
            </w:pPr>
            <w:r>
              <w:rPr>
                <w:rFonts w:ascii="Arial" w:cs="Arial" w:eastAsia="Arial" w:hAnsi="Arial"/>
                <w:sz w:val="16"/>
                <w:szCs w:val="16"/>
                <w:color w:val="auto"/>
              </w:rPr>
              <w:t>11</w:t>
            </w:r>
          </w:p>
        </w:tc>
        <w:tc>
          <w:tcPr>
            <w:tcW w:w="1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w:t>
            </w:r>
          </w:p>
        </w:tc>
        <w:tc>
          <w:tcPr>
            <w:tcW w:w="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w:t>
            </w:r>
          </w:p>
        </w:tc>
      </w:tr>
      <w:tr>
        <w:trPr>
          <w:trHeight w:val="209"/>
        </w:trPr>
        <w:tc>
          <w:tcPr>
            <w:tcW w:w="6160" w:type="dxa"/>
            <w:vAlign w:val="bottom"/>
          </w:tcPr>
          <w:p>
            <w:pPr>
              <w:ind w:left="200"/>
              <w:spacing w:after="0"/>
              <w:rPr>
                <w:sz w:val="20"/>
                <w:szCs w:val="20"/>
                <w:color w:val="auto"/>
              </w:rPr>
            </w:pPr>
            <w:r>
              <w:rPr>
                <w:rFonts w:ascii="Arial" w:cs="Arial" w:eastAsia="Arial" w:hAnsi="Arial"/>
                <w:sz w:val="16"/>
                <w:szCs w:val="16"/>
                <w:b w:val="1"/>
                <w:bCs w:val="1"/>
                <w:color w:val="auto"/>
              </w:rPr>
              <w:t>Other Comprehensive Income (Loss)</w:t>
            </w: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w:t>
            </w:r>
          </w:p>
        </w:tc>
        <w:tc>
          <w:tcPr>
            <w:tcW w:w="100" w:type="dxa"/>
            <w:vAlign w:val="bottom"/>
          </w:tcPr>
          <w:p>
            <w:pPr>
              <w:spacing w:after="0"/>
              <w:rPr>
                <w:sz w:val="18"/>
                <w:szCs w:val="18"/>
                <w:color w:val="auto"/>
              </w:rPr>
            </w:pPr>
          </w:p>
        </w:tc>
        <w:tc>
          <w:tcPr>
            <w:tcW w:w="7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6"/>
              </w:rPr>
              <w:t>(176)</w:t>
            </w:r>
          </w:p>
        </w:tc>
        <w:tc>
          <w:tcPr>
            <w:tcW w:w="1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w:t>
            </w:r>
          </w:p>
        </w:tc>
        <w:tc>
          <w:tcPr>
            <w:tcW w:w="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336</w:t>
            </w:r>
          </w:p>
        </w:tc>
      </w:tr>
      <w:tr>
        <w:trPr>
          <w:trHeight w:val="210"/>
        </w:trPr>
        <w:tc>
          <w:tcPr>
            <w:tcW w:w="6160" w:type="dxa"/>
            <w:vAlign w:val="bottom"/>
          </w:tcPr>
          <w:p>
            <w:pPr>
              <w:spacing w:after="0"/>
              <w:rPr>
                <w:sz w:val="20"/>
                <w:szCs w:val="20"/>
                <w:color w:val="auto"/>
              </w:rPr>
            </w:pPr>
            <w:r>
              <w:rPr>
                <w:rFonts w:ascii="Arial" w:cs="Arial" w:eastAsia="Arial" w:hAnsi="Arial"/>
                <w:sz w:val="16"/>
                <w:szCs w:val="16"/>
                <w:b w:val="1"/>
                <w:bCs w:val="1"/>
                <w:color w:val="auto"/>
              </w:rPr>
              <w:t>Comprehensive Income (Loss)</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225</w:t>
            </w: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6"/>
                <w:szCs w:val="16"/>
                <w:color w:val="auto"/>
                <w:w w:val="96"/>
              </w:rPr>
              <w:t>(359)</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493</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(2,476)</w:t>
            </w:r>
          </w:p>
        </w:tc>
      </w:tr>
      <w:tr>
        <w:trPr>
          <w:trHeight w:val="219"/>
        </w:trPr>
        <w:tc>
          <w:tcPr>
            <w:tcW w:w="6160" w:type="dxa"/>
            <w:vAlign w:val="bottom"/>
          </w:tcPr>
          <w:p>
            <w:pPr>
              <w:ind w:left="200"/>
              <w:spacing w:after="0"/>
              <w:rPr>
                <w:sz w:val="20"/>
                <w:szCs w:val="20"/>
                <w:color w:val="auto"/>
              </w:rPr>
            </w:pPr>
            <w:r>
              <w:rPr>
                <w:rFonts w:ascii="Arial" w:cs="Arial" w:eastAsia="Arial" w:hAnsi="Arial"/>
                <w:sz w:val="16"/>
                <w:szCs w:val="16"/>
                <w:color w:val="auto"/>
              </w:rPr>
              <w:t>Less: Comprehensive income (loss) attributable to noncontrolling interests</w:t>
            </w:r>
          </w:p>
        </w:tc>
        <w:tc>
          <w:tcPr>
            <w:tcW w:w="76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70</w:t>
            </w:r>
          </w:p>
        </w:tc>
        <w:tc>
          <w:tcPr>
            <w:tcW w:w="100" w:type="dxa"/>
            <w:vAlign w:val="bottom"/>
          </w:tcPr>
          <w:p>
            <w:pPr>
              <w:spacing w:after="0"/>
              <w:rPr>
                <w:sz w:val="19"/>
                <w:szCs w:val="19"/>
                <w:color w:val="auto"/>
              </w:rPr>
            </w:pPr>
          </w:p>
        </w:tc>
        <w:tc>
          <w:tcPr>
            <w:tcW w:w="78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ind w:left="180"/>
              <w:spacing w:after="0"/>
              <w:rPr>
                <w:sz w:val="20"/>
                <w:szCs w:val="20"/>
                <w:color w:val="auto"/>
              </w:rPr>
            </w:pPr>
            <w:r>
              <w:rPr>
                <w:rFonts w:ascii="Arial" w:cs="Arial" w:eastAsia="Arial" w:hAnsi="Arial"/>
                <w:sz w:val="16"/>
                <w:szCs w:val="16"/>
                <w:color w:val="auto"/>
              </w:rPr>
              <w:t>60</w:t>
            </w:r>
          </w:p>
        </w:tc>
        <w:tc>
          <w:tcPr>
            <w:tcW w:w="12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240</w:t>
            </w:r>
          </w:p>
        </w:tc>
        <w:tc>
          <w:tcPr>
            <w:tcW w:w="1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184</w:t>
            </w:r>
          </w:p>
        </w:tc>
      </w:tr>
      <w:tr>
        <w:trPr>
          <w:trHeight w:val="213"/>
        </w:trPr>
        <w:tc>
          <w:tcPr>
            <w:tcW w:w="6160" w:type="dxa"/>
            <w:vAlign w:val="bottom"/>
          </w:tcPr>
          <w:p>
            <w:pPr>
              <w:spacing w:after="0"/>
              <w:rPr>
                <w:sz w:val="20"/>
                <w:szCs w:val="20"/>
                <w:color w:val="auto"/>
              </w:rPr>
            </w:pPr>
            <w:r>
              <w:rPr>
                <w:rFonts w:ascii="Arial" w:cs="Arial" w:eastAsia="Arial" w:hAnsi="Arial"/>
                <w:sz w:val="16"/>
                <w:szCs w:val="16"/>
                <w:b w:val="1"/>
                <w:bCs w:val="1"/>
                <w:color w:val="auto"/>
              </w:rPr>
              <w:t>Comprehensive Income (Loss) Attributable to Hess Corporation</w:t>
            </w:r>
          </w:p>
        </w:tc>
        <w:tc>
          <w:tcPr>
            <w:tcW w:w="760" w:type="dxa"/>
            <w:vAlign w:val="bottom"/>
            <w:tcBorders>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155</w:t>
            </w:r>
          </w:p>
        </w:tc>
        <w:tc>
          <w:tcPr>
            <w:tcW w:w="100" w:type="dxa"/>
            <w:vAlign w:val="bottom"/>
          </w:tcPr>
          <w:p>
            <w:pPr>
              <w:spacing w:after="0"/>
              <w:rPr>
                <w:sz w:val="18"/>
                <w:szCs w:val="18"/>
                <w:color w:val="auto"/>
              </w:rPr>
            </w:pPr>
          </w:p>
        </w:tc>
        <w:tc>
          <w:tcPr>
            <w:tcW w:w="780" w:type="dxa"/>
            <w:vAlign w:val="bottom"/>
            <w:tcBorders>
              <w:bottom w:val="single" w:sz="8" w:color="auto"/>
            </w:tcBorders>
          </w:tcPr>
          <w:p>
            <w:pPr>
              <w:jc w:val="right"/>
              <w:ind w:right="602"/>
              <w:spacing w:after="0"/>
              <w:rPr>
                <w:sz w:val="20"/>
                <w:szCs w:val="20"/>
                <w:color w:val="auto"/>
              </w:rPr>
            </w:pPr>
            <w:r>
              <w:rPr>
                <w:rFonts w:ascii="Arial" w:cs="Arial" w:eastAsia="Arial" w:hAnsi="Arial"/>
                <w:sz w:val="16"/>
                <w:szCs w:val="16"/>
                <w:color w:val="auto"/>
                <w:w w:val="89"/>
              </w:rPr>
              <w:t>$</w:t>
            </w: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6"/>
              </w:rPr>
              <w:t>(419)</w:t>
            </w:r>
          </w:p>
        </w:tc>
        <w:tc>
          <w:tcPr>
            <w:tcW w:w="120" w:type="dxa"/>
            <w:vAlign w:val="bottom"/>
          </w:tcPr>
          <w:p>
            <w:pPr>
              <w:spacing w:after="0"/>
              <w:rPr>
                <w:sz w:val="18"/>
                <w:szCs w:val="18"/>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253</w:t>
            </w:r>
          </w:p>
        </w:tc>
        <w:tc>
          <w:tcPr>
            <w:tcW w:w="120" w:type="dxa"/>
            <w:vAlign w:val="bottom"/>
          </w:tcPr>
          <w:p>
            <w:pPr>
              <w:spacing w:after="0"/>
              <w:rPr>
                <w:sz w:val="18"/>
                <w:szCs w:val="18"/>
                <w:color w:val="auto"/>
              </w:rPr>
            </w:pPr>
          </w:p>
        </w:tc>
        <w:tc>
          <w:tcPr>
            <w:tcW w:w="4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(2,660)</w:t>
            </w:r>
          </w:p>
        </w:tc>
      </w:tr>
      <w:tr>
        <w:trPr>
          <w:trHeight w:val="20"/>
        </w:trPr>
        <w:tc>
          <w:tcPr>
            <w:tcW w:w="6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70485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40" w:top="769" w:right="339" w:bottom="1440" w:gutter="0" w:footer="0" w:header="0"/>
        </w:sectPr>
      </w:pPr>
    </w:p>
    <w:bookmarkStart w:id="5" w:name="page6"/>
    <w:bookmarkEnd w:id="5"/>
    <w:p>
      <w:pPr>
        <w:jc w:val="center"/>
        <w:ind w:right="2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5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STATEMENT OF CONSOLIDATED CASH FLOWS (UNAUDITED)</w:t>
      </w:r>
    </w:p>
    <w:p>
      <w:pPr>
        <w:spacing w:after="0" w:line="17" w:lineRule="exact"/>
        <w:rPr>
          <w:sz w:val="20"/>
          <w:szCs w:val="20"/>
          <w:color w:val="auto"/>
        </w:rPr>
      </w:pPr>
    </w:p>
    <w:p>
      <w:pPr>
        <w:jc w:val="center"/>
        <w:ind w:left="8800"/>
        <w:spacing w:after="0"/>
        <w:rPr>
          <w:sz w:val="20"/>
          <w:szCs w:val="20"/>
          <w:color w:val="auto"/>
        </w:rPr>
      </w:pPr>
      <w:r>
        <w:rPr>
          <w:rFonts w:ascii="Arial" w:cs="Arial" w:eastAsia="Arial" w:hAnsi="Arial"/>
          <w:sz w:val="14"/>
          <w:szCs w:val="14"/>
          <w:b w:val="1"/>
          <w:bCs w:val="1"/>
          <w:color w:val="auto"/>
        </w:rPr>
        <w:t>Nine Months Ended</w:t>
      </w:r>
    </w:p>
    <w:p>
      <w:pPr>
        <w:jc w:val="center"/>
        <w:ind w:left="8800"/>
        <w:spacing w:after="0"/>
        <w:rPr>
          <w:sz w:val="20"/>
          <w:szCs w:val="20"/>
          <w:color w:val="auto"/>
        </w:rPr>
      </w:pPr>
      <w:r>
        <w:rPr>
          <w:rFonts w:ascii="Arial" w:cs="Arial" w:eastAsia="Arial" w:hAnsi="Arial"/>
          <w:sz w:val="14"/>
          <w:szCs w:val="14"/>
          <w:b w:val="1"/>
          <w:bCs w:val="1"/>
          <w:color w:val="auto"/>
        </w:rPr>
        <w:t>September 30,</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8780" w:type="dxa"/>
            <w:vAlign w:val="bottom"/>
          </w:tcPr>
          <w:p>
            <w:pPr>
              <w:spacing w:after="0"/>
              <w:rPr>
                <w:sz w:val="16"/>
                <w:szCs w:val="16"/>
                <w:color w:val="auto"/>
              </w:rPr>
            </w:pPr>
          </w:p>
        </w:tc>
        <w:tc>
          <w:tcPr>
            <w:tcW w:w="260" w:type="dxa"/>
            <w:vAlign w:val="bottom"/>
            <w:tcBorders>
              <w:top w:val="single" w:sz="8" w:color="auto"/>
              <w:bottom w:val="single" w:sz="8" w:color="auto"/>
            </w:tcBorders>
          </w:tcPr>
          <w:p>
            <w:pPr>
              <w:spacing w:after="0"/>
              <w:rPr>
                <w:sz w:val="16"/>
                <w:szCs w:val="16"/>
                <w:color w:val="auto"/>
              </w:rPr>
            </w:pPr>
          </w:p>
        </w:tc>
        <w:tc>
          <w:tcPr>
            <w:tcW w:w="900" w:type="dxa"/>
            <w:vAlign w:val="bottom"/>
            <w:tcBorders>
              <w:top w:val="single" w:sz="8" w:color="auto"/>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tcBorders>
          </w:tcPr>
          <w:p>
            <w:pPr>
              <w:spacing w:after="0"/>
              <w:rPr>
                <w:sz w:val="16"/>
                <w:szCs w:val="16"/>
                <w:color w:val="auto"/>
              </w:rPr>
            </w:pPr>
          </w:p>
        </w:tc>
        <w:tc>
          <w:tcPr>
            <w:tcW w:w="380" w:type="dxa"/>
            <w:vAlign w:val="bottom"/>
            <w:tcBorders>
              <w:top w:val="single" w:sz="8" w:color="auto"/>
              <w:bottom w:val="single" w:sz="8" w:color="auto"/>
            </w:tcBorders>
          </w:tcPr>
          <w:p>
            <w:pPr>
              <w:spacing w:after="0"/>
              <w:rPr>
                <w:sz w:val="16"/>
                <w:szCs w:val="16"/>
                <w:color w:val="auto"/>
              </w:rPr>
            </w:pPr>
          </w:p>
        </w:tc>
        <w:tc>
          <w:tcPr>
            <w:tcW w:w="760" w:type="dxa"/>
            <w:vAlign w:val="bottom"/>
            <w:tcBorders>
              <w:top w:val="single" w:sz="8" w:color="auto"/>
              <w:bottom w:val="single" w:sz="8" w:color="auto"/>
            </w:tcBorders>
          </w:tcPr>
          <w:p>
            <w:pPr>
              <w:jc w:val="right"/>
              <w:ind w:right="339"/>
              <w:spacing w:after="0"/>
              <w:rPr>
                <w:sz w:val="20"/>
                <w:szCs w:val="20"/>
                <w:color w:val="auto"/>
              </w:rPr>
            </w:pPr>
            <w:r>
              <w:rPr>
                <w:rFonts w:ascii="Arial" w:cs="Arial" w:eastAsia="Arial" w:hAnsi="Arial"/>
                <w:sz w:val="14"/>
                <w:szCs w:val="14"/>
                <w:b w:val="1"/>
                <w:bCs w:val="1"/>
                <w:color w:val="auto"/>
              </w:rPr>
              <w:t>2020</w:t>
            </w:r>
          </w:p>
        </w:tc>
      </w:tr>
      <w:tr>
        <w:trPr>
          <w:trHeight w:val="212"/>
        </w:trPr>
        <w:tc>
          <w:tcPr>
            <w:tcW w:w="87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8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millions)</w:t>
            </w:r>
          </w:p>
        </w:tc>
        <w:tc>
          <w:tcPr>
            <w:tcW w:w="760" w:type="dxa"/>
            <w:vAlign w:val="bottom"/>
          </w:tcPr>
          <w:p>
            <w:pPr>
              <w:spacing w:after="0"/>
              <w:rPr>
                <w:sz w:val="18"/>
                <w:szCs w:val="18"/>
                <w:color w:val="auto"/>
              </w:rPr>
            </w:pPr>
          </w:p>
        </w:tc>
      </w:tr>
      <w:tr>
        <w:trPr>
          <w:trHeight w:val="222"/>
        </w:trPr>
        <w:tc>
          <w:tcPr>
            <w:tcW w:w="8780" w:type="dxa"/>
            <w:vAlign w:val="bottom"/>
          </w:tcPr>
          <w:p>
            <w:pPr>
              <w:spacing w:after="0"/>
              <w:rPr>
                <w:sz w:val="20"/>
                <w:szCs w:val="20"/>
                <w:color w:val="auto"/>
              </w:rPr>
            </w:pPr>
            <w:r>
              <w:rPr>
                <w:rFonts w:ascii="Arial" w:cs="Arial" w:eastAsia="Arial" w:hAnsi="Arial"/>
                <w:sz w:val="16"/>
                <w:szCs w:val="16"/>
                <w:b w:val="1"/>
                <w:bCs w:val="1"/>
                <w:color w:val="auto"/>
              </w:rPr>
              <w:t>Cash Flows From Operating Activities</w:t>
            </w:r>
          </w:p>
        </w:tc>
        <w:tc>
          <w:tcPr>
            <w:tcW w:w="2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760" w:type="dxa"/>
            <w:vAlign w:val="bottom"/>
          </w:tcPr>
          <w:p>
            <w:pPr>
              <w:spacing w:after="0"/>
              <w:rPr>
                <w:sz w:val="19"/>
                <w:szCs w:val="19"/>
                <w:color w:val="auto"/>
              </w:rPr>
            </w:pP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Net income (loss)</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534</w:t>
            </w:r>
          </w:p>
        </w:tc>
        <w:tc>
          <w:tcPr>
            <w:tcW w:w="100" w:type="dxa"/>
            <w:vAlign w:val="bottom"/>
          </w:tcPr>
          <w:p>
            <w:pPr>
              <w:spacing w:after="0"/>
              <w:rPr>
                <w:sz w:val="18"/>
                <w:szCs w:val="18"/>
                <w:color w:val="auto"/>
              </w:rPr>
            </w:pPr>
          </w:p>
        </w:tc>
        <w:tc>
          <w:tcPr>
            <w:tcW w:w="380" w:type="dxa"/>
            <w:vAlign w:val="bottom"/>
          </w:tcPr>
          <w:p>
            <w:pPr>
              <w:jc w:val="right"/>
              <w:ind w:right="199"/>
              <w:spacing w:after="0"/>
              <w:rPr>
                <w:sz w:val="20"/>
                <w:szCs w:val="20"/>
                <w:color w:val="auto"/>
              </w:rPr>
            </w:pPr>
            <w:r>
              <w:rPr>
                <w:rFonts w:ascii="Arial" w:cs="Arial" w:eastAsia="Arial" w:hAnsi="Arial"/>
                <w:sz w:val="16"/>
                <w:szCs w:val="16"/>
                <w:color w:val="auto"/>
                <w:w w:val="89"/>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(2,812)</w:t>
            </w: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Adjustments to reconcile net income (loss) to net cash provided by (used in) operating activities:</w:t>
            </w: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6"/>
        </w:trPr>
        <w:tc>
          <w:tcPr>
            <w:tcW w:w="8780" w:type="dxa"/>
            <w:vAlign w:val="bottom"/>
          </w:tcPr>
          <w:p>
            <w:pPr>
              <w:ind w:left="320"/>
              <w:spacing w:after="0"/>
              <w:rPr>
                <w:sz w:val="20"/>
                <w:szCs w:val="20"/>
                <w:color w:val="auto"/>
              </w:rPr>
            </w:pPr>
            <w:r>
              <w:rPr>
                <w:rFonts w:ascii="Arial" w:cs="Arial" w:eastAsia="Arial" w:hAnsi="Arial"/>
                <w:sz w:val="16"/>
                <w:szCs w:val="16"/>
                <w:color w:val="auto"/>
              </w:rPr>
              <w:t>(Gains) losses on asset sales, net</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(8)</w:t>
            </w:r>
          </w:p>
        </w:tc>
      </w:tr>
      <w:tr>
        <w:trPr>
          <w:trHeight w:val="216"/>
        </w:trPr>
        <w:tc>
          <w:tcPr>
            <w:tcW w:w="8780" w:type="dxa"/>
            <w:vAlign w:val="bottom"/>
          </w:tcPr>
          <w:p>
            <w:pPr>
              <w:ind w:left="320"/>
              <w:spacing w:after="0"/>
              <w:rPr>
                <w:sz w:val="20"/>
                <w:szCs w:val="20"/>
                <w:color w:val="auto"/>
              </w:rPr>
            </w:pPr>
            <w:r>
              <w:rPr>
                <w:rFonts w:ascii="Arial" w:cs="Arial" w:eastAsia="Arial" w:hAnsi="Arial"/>
                <w:sz w:val="16"/>
                <w:szCs w:val="16"/>
                <w:color w:val="auto"/>
              </w:rPr>
              <w:t>Depreciation, depletion and amortization</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1,130</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1,588</w:t>
            </w:r>
          </w:p>
        </w:tc>
      </w:tr>
      <w:tr>
        <w:trPr>
          <w:trHeight w:val="216"/>
        </w:trPr>
        <w:tc>
          <w:tcPr>
            <w:tcW w:w="8780" w:type="dxa"/>
            <w:vAlign w:val="bottom"/>
          </w:tcPr>
          <w:p>
            <w:pPr>
              <w:ind w:left="320"/>
              <w:spacing w:after="0"/>
              <w:rPr>
                <w:sz w:val="20"/>
                <w:szCs w:val="20"/>
                <w:color w:val="auto"/>
              </w:rPr>
            </w:pPr>
            <w:r>
              <w:rPr>
                <w:rFonts w:ascii="Arial" w:cs="Arial" w:eastAsia="Arial" w:hAnsi="Arial"/>
                <w:sz w:val="16"/>
                <w:szCs w:val="16"/>
                <w:color w:val="auto"/>
              </w:rPr>
              <w:t>Impairment and other</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147</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2,126</w:t>
            </w:r>
          </w:p>
        </w:tc>
      </w:tr>
      <w:tr>
        <w:trPr>
          <w:trHeight w:val="216"/>
        </w:trPr>
        <w:tc>
          <w:tcPr>
            <w:tcW w:w="8780" w:type="dxa"/>
            <w:vAlign w:val="bottom"/>
          </w:tcPr>
          <w:p>
            <w:pPr>
              <w:ind w:left="320"/>
              <w:spacing w:after="0"/>
              <w:rPr>
                <w:sz w:val="20"/>
                <w:szCs w:val="20"/>
                <w:color w:val="auto"/>
              </w:rPr>
            </w:pPr>
            <w:r>
              <w:rPr>
                <w:rFonts w:ascii="Arial" w:cs="Arial" w:eastAsia="Arial" w:hAnsi="Arial"/>
                <w:sz w:val="16"/>
                <w:szCs w:val="16"/>
                <w:color w:val="auto"/>
              </w:rPr>
              <w:t>Exploratory dry hole costs</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11</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166</w:t>
            </w:r>
          </w:p>
        </w:tc>
      </w:tr>
      <w:tr>
        <w:trPr>
          <w:trHeight w:val="216"/>
        </w:trPr>
        <w:tc>
          <w:tcPr>
            <w:tcW w:w="8780" w:type="dxa"/>
            <w:vAlign w:val="bottom"/>
          </w:tcPr>
          <w:p>
            <w:pPr>
              <w:ind w:left="320"/>
              <w:spacing w:after="0"/>
              <w:rPr>
                <w:sz w:val="20"/>
                <w:szCs w:val="20"/>
                <w:color w:val="auto"/>
              </w:rPr>
            </w:pPr>
            <w:r>
              <w:rPr>
                <w:rFonts w:ascii="Arial" w:cs="Arial" w:eastAsia="Arial" w:hAnsi="Arial"/>
                <w:sz w:val="16"/>
                <w:szCs w:val="16"/>
                <w:color w:val="auto"/>
              </w:rPr>
              <w:t>Exploration lease and other impairment</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15</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48</w:t>
            </w:r>
          </w:p>
        </w:tc>
      </w:tr>
      <w:tr>
        <w:trPr>
          <w:trHeight w:val="216"/>
        </w:trPr>
        <w:tc>
          <w:tcPr>
            <w:tcW w:w="8780" w:type="dxa"/>
            <w:vAlign w:val="bottom"/>
          </w:tcPr>
          <w:p>
            <w:pPr>
              <w:ind w:left="320"/>
              <w:spacing w:after="0"/>
              <w:rPr>
                <w:sz w:val="20"/>
                <w:szCs w:val="20"/>
                <w:color w:val="auto"/>
              </w:rPr>
            </w:pPr>
            <w:r>
              <w:rPr>
                <w:rFonts w:ascii="Arial" w:cs="Arial" w:eastAsia="Arial" w:hAnsi="Arial"/>
                <w:sz w:val="16"/>
                <w:szCs w:val="16"/>
                <w:color w:val="auto"/>
              </w:rPr>
              <w:t>Pension settlement loss</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8780" w:type="dxa"/>
            <w:vAlign w:val="bottom"/>
          </w:tcPr>
          <w:p>
            <w:pPr>
              <w:ind w:left="320"/>
              <w:spacing w:after="0"/>
              <w:rPr>
                <w:sz w:val="20"/>
                <w:szCs w:val="20"/>
                <w:color w:val="auto"/>
              </w:rPr>
            </w:pPr>
            <w:r>
              <w:rPr>
                <w:rFonts w:ascii="Arial" w:cs="Arial" w:eastAsia="Arial" w:hAnsi="Arial"/>
                <w:sz w:val="16"/>
                <w:szCs w:val="16"/>
                <w:color w:val="auto"/>
              </w:rPr>
              <w:t>Stock compensation expense</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61</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63</w:t>
            </w:r>
          </w:p>
        </w:tc>
      </w:tr>
      <w:tr>
        <w:trPr>
          <w:trHeight w:val="216"/>
        </w:trPr>
        <w:tc>
          <w:tcPr>
            <w:tcW w:w="8780" w:type="dxa"/>
            <w:vAlign w:val="bottom"/>
          </w:tcPr>
          <w:p>
            <w:pPr>
              <w:ind w:left="320"/>
              <w:spacing w:after="0"/>
              <w:rPr>
                <w:sz w:val="20"/>
                <w:szCs w:val="20"/>
                <w:color w:val="auto"/>
              </w:rPr>
            </w:pPr>
            <w:r>
              <w:rPr>
                <w:rFonts w:ascii="Arial" w:cs="Arial" w:eastAsia="Arial" w:hAnsi="Arial"/>
                <w:sz w:val="16"/>
                <w:szCs w:val="16"/>
                <w:color w:val="auto"/>
              </w:rPr>
              <w:t>Noncash (gains) losses on commodity derivatives, net</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152</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187</w:t>
            </w:r>
          </w:p>
        </w:tc>
      </w:tr>
      <w:tr>
        <w:trPr>
          <w:trHeight w:val="216"/>
        </w:trPr>
        <w:tc>
          <w:tcPr>
            <w:tcW w:w="8780" w:type="dxa"/>
            <w:vAlign w:val="bottom"/>
          </w:tcPr>
          <w:p>
            <w:pPr>
              <w:ind w:left="320"/>
              <w:spacing w:after="0"/>
              <w:rPr>
                <w:sz w:val="20"/>
                <w:szCs w:val="20"/>
                <w:color w:val="auto"/>
              </w:rPr>
            </w:pPr>
            <w:r>
              <w:rPr>
                <w:rFonts w:ascii="Arial" w:cs="Arial" w:eastAsia="Arial" w:hAnsi="Arial"/>
                <w:sz w:val="16"/>
                <w:szCs w:val="16"/>
                <w:color w:val="auto"/>
              </w:rPr>
              <w:t>Provision (benefit) for deferred income taxes and other tax accruals</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79</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(87)</w:t>
            </w:r>
          </w:p>
        </w:tc>
      </w:tr>
      <w:tr>
        <w:trPr>
          <w:trHeight w:val="216"/>
        </w:trPr>
        <w:tc>
          <w:tcPr>
            <w:tcW w:w="8780" w:type="dxa"/>
            <w:vAlign w:val="bottom"/>
          </w:tcPr>
          <w:p>
            <w:pPr>
              <w:ind w:left="320"/>
              <w:spacing w:after="0"/>
              <w:rPr>
                <w:sz w:val="20"/>
                <w:szCs w:val="20"/>
                <w:color w:val="auto"/>
              </w:rPr>
            </w:pPr>
            <w:r>
              <w:rPr>
                <w:rFonts w:ascii="Arial" w:cs="Arial" w:eastAsia="Arial" w:hAnsi="Arial"/>
                <w:sz w:val="16"/>
                <w:szCs w:val="16"/>
                <w:color w:val="auto"/>
              </w:rPr>
              <w:t>Changes in operating assets and liabilities:</w:t>
            </w: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6"/>
        </w:trPr>
        <w:tc>
          <w:tcPr>
            <w:tcW w:w="8780" w:type="dxa"/>
            <w:vAlign w:val="bottom"/>
          </w:tcPr>
          <w:p>
            <w:pPr>
              <w:ind w:left="520"/>
              <w:spacing w:after="0"/>
              <w:rPr>
                <w:sz w:val="20"/>
                <w:szCs w:val="20"/>
                <w:color w:val="auto"/>
              </w:rPr>
            </w:pPr>
            <w:r>
              <w:rPr>
                <w:rFonts w:ascii="Arial" w:cs="Arial" w:eastAsia="Arial" w:hAnsi="Arial"/>
                <w:sz w:val="16"/>
                <w:szCs w:val="16"/>
                <w:color w:val="auto"/>
              </w:rPr>
              <w:t>(Increase) decrease in accounts receivable</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(533)</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539</w:t>
            </w:r>
          </w:p>
        </w:tc>
      </w:tr>
      <w:tr>
        <w:trPr>
          <w:trHeight w:val="216"/>
        </w:trPr>
        <w:tc>
          <w:tcPr>
            <w:tcW w:w="8780" w:type="dxa"/>
            <w:vAlign w:val="bottom"/>
          </w:tcPr>
          <w:p>
            <w:pPr>
              <w:ind w:left="520"/>
              <w:spacing w:after="0"/>
              <w:rPr>
                <w:sz w:val="20"/>
                <w:szCs w:val="20"/>
                <w:color w:val="auto"/>
              </w:rPr>
            </w:pPr>
            <w:r>
              <w:rPr>
                <w:rFonts w:ascii="Arial" w:cs="Arial" w:eastAsia="Arial" w:hAnsi="Arial"/>
                <w:sz w:val="16"/>
                <w:szCs w:val="16"/>
                <w:color w:val="auto"/>
              </w:rPr>
              <w:t>(Increase) decrease in inventories</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97</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(161)</w:t>
            </w:r>
          </w:p>
        </w:tc>
      </w:tr>
      <w:tr>
        <w:trPr>
          <w:trHeight w:val="216"/>
        </w:trPr>
        <w:tc>
          <w:tcPr>
            <w:tcW w:w="8780" w:type="dxa"/>
            <w:vAlign w:val="bottom"/>
          </w:tcPr>
          <w:p>
            <w:pPr>
              <w:ind w:left="520"/>
              <w:spacing w:after="0"/>
              <w:rPr>
                <w:sz w:val="20"/>
                <w:szCs w:val="20"/>
                <w:color w:val="auto"/>
              </w:rPr>
            </w:pPr>
            <w:r>
              <w:rPr>
                <w:rFonts w:ascii="Arial" w:cs="Arial" w:eastAsia="Arial" w:hAnsi="Arial"/>
                <w:sz w:val="16"/>
                <w:szCs w:val="16"/>
                <w:color w:val="auto"/>
              </w:rPr>
              <w:t>Increase (decrease) in accounts payable and accrued liabilities</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169</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(681)</w:t>
            </w:r>
          </w:p>
        </w:tc>
      </w:tr>
      <w:tr>
        <w:trPr>
          <w:trHeight w:val="216"/>
        </w:trPr>
        <w:tc>
          <w:tcPr>
            <w:tcW w:w="8780" w:type="dxa"/>
            <w:vAlign w:val="bottom"/>
          </w:tcPr>
          <w:p>
            <w:pPr>
              <w:ind w:left="520"/>
              <w:spacing w:after="0"/>
              <w:rPr>
                <w:sz w:val="20"/>
                <w:szCs w:val="20"/>
                <w:color w:val="auto"/>
              </w:rPr>
            </w:pPr>
            <w:r>
              <w:rPr>
                <w:rFonts w:ascii="Arial" w:cs="Arial" w:eastAsia="Arial" w:hAnsi="Arial"/>
                <w:sz w:val="16"/>
                <w:szCs w:val="16"/>
                <w:color w:val="auto"/>
              </w:rPr>
              <w:t>Increase (decrease) in taxes payable</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278</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(52)</w:t>
            </w:r>
          </w:p>
        </w:tc>
      </w:tr>
      <w:tr>
        <w:trPr>
          <w:trHeight w:val="216"/>
        </w:trPr>
        <w:tc>
          <w:tcPr>
            <w:tcW w:w="8780" w:type="dxa"/>
            <w:vAlign w:val="bottom"/>
          </w:tcPr>
          <w:p>
            <w:pPr>
              <w:ind w:left="520"/>
              <w:spacing w:after="0"/>
              <w:rPr>
                <w:sz w:val="20"/>
                <w:szCs w:val="20"/>
                <w:color w:val="auto"/>
              </w:rPr>
            </w:pPr>
            <w:r>
              <w:rPr>
                <w:rFonts w:ascii="Arial" w:cs="Arial" w:eastAsia="Arial" w:hAnsi="Arial"/>
                <w:sz w:val="16"/>
                <w:szCs w:val="16"/>
                <w:color w:val="auto"/>
              </w:rPr>
              <w:t>Changes in other operating assets and liabilities</w:t>
            </w:r>
          </w:p>
        </w:tc>
        <w:tc>
          <w:tcPr>
            <w:tcW w:w="2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(125)</w:t>
            </w:r>
          </w:p>
        </w:tc>
        <w:tc>
          <w:tcPr>
            <w:tcW w:w="10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(69)</w:t>
            </w:r>
          </w:p>
        </w:tc>
      </w:tr>
      <w:tr>
        <w:trPr>
          <w:trHeight w:val="210"/>
        </w:trPr>
        <w:tc>
          <w:tcPr>
            <w:tcW w:w="8780" w:type="dxa"/>
            <w:vAlign w:val="bottom"/>
          </w:tcPr>
          <w:p>
            <w:pPr>
              <w:ind w:left="980"/>
              <w:spacing w:after="0"/>
              <w:rPr>
                <w:sz w:val="20"/>
                <w:szCs w:val="20"/>
                <w:color w:val="auto"/>
              </w:rPr>
            </w:pPr>
            <w:r>
              <w:rPr>
                <w:rFonts w:ascii="Arial" w:cs="Arial" w:eastAsia="Arial" w:hAnsi="Arial"/>
                <w:sz w:val="16"/>
                <w:szCs w:val="16"/>
                <w:color w:val="auto"/>
              </w:rPr>
              <w:t>Net cash provided by (used in) operating activities</w:t>
            </w:r>
          </w:p>
        </w:tc>
        <w:tc>
          <w:tcPr>
            <w:tcW w:w="2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1,991</w:t>
            </w:r>
          </w:p>
        </w:tc>
        <w:tc>
          <w:tcPr>
            <w:tcW w:w="10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847</w:t>
            </w:r>
          </w:p>
        </w:tc>
      </w:tr>
      <w:tr>
        <w:trPr>
          <w:trHeight w:val="196"/>
        </w:trPr>
        <w:tc>
          <w:tcPr>
            <w:tcW w:w="8780" w:type="dxa"/>
            <w:vAlign w:val="bottom"/>
          </w:tcPr>
          <w:p>
            <w:pPr>
              <w:spacing w:after="0"/>
              <w:rPr>
                <w:sz w:val="20"/>
                <w:szCs w:val="20"/>
                <w:color w:val="auto"/>
              </w:rPr>
            </w:pPr>
            <w:r>
              <w:rPr>
                <w:rFonts w:ascii="Arial" w:cs="Arial" w:eastAsia="Arial" w:hAnsi="Arial"/>
                <w:sz w:val="16"/>
                <w:szCs w:val="16"/>
                <w:b w:val="1"/>
                <w:bCs w:val="1"/>
                <w:color w:val="auto"/>
              </w:rPr>
              <w:t>Cash Flows From Investing Activities</w:t>
            </w:r>
          </w:p>
        </w:tc>
        <w:tc>
          <w:tcPr>
            <w:tcW w:w="2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Additions to property, plant and equipment - E&amp;P</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(1,118)</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(1,577)</w:t>
            </w: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Additions to property, plant and equipment - Midstream</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(120)</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(246)</w:t>
            </w: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Proceeds from asset sales, net of cash sold</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427</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11</w:t>
            </w: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Other, net</w:t>
            </w:r>
          </w:p>
        </w:tc>
        <w:tc>
          <w:tcPr>
            <w:tcW w:w="2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w:t>
            </w:r>
          </w:p>
        </w:tc>
        <w:tc>
          <w:tcPr>
            <w:tcW w:w="10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w:t>
            </w:r>
          </w:p>
        </w:tc>
      </w:tr>
      <w:tr>
        <w:trPr>
          <w:trHeight w:val="210"/>
        </w:trPr>
        <w:tc>
          <w:tcPr>
            <w:tcW w:w="8780" w:type="dxa"/>
            <w:vAlign w:val="bottom"/>
          </w:tcPr>
          <w:p>
            <w:pPr>
              <w:ind w:left="980"/>
              <w:spacing w:after="0"/>
              <w:rPr>
                <w:sz w:val="20"/>
                <w:szCs w:val="20"/>
                <w:color w:val="auto"/>
              </w:rPr>
            </w:pPr>
            <w:r>
              <w:rPr>
                <w:rFonts w:ascii="Arial" w:cs="Arial" w:eastAsia="Arial" w:hAnsi="Arial"/>
                <w:sz w:val="16"/>
                <w:szCs w:val="16"/>
                <w:color w:val="auto"/>
              </w:rPr>
              <w:t>Net cash provided by (used in) investing activities</w:t>
            </w:r>
          </w:p>
        </w:tc>
        <w:tc>
          <w:tcPr>
            <w:tcW w:w="2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(815)</w:t>
            </w:r>
          </w:p>
        </w:tc>
        <w:tc>
          <w:tcPr>
            <w:tcW w:w="10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(1,814)</w:t>
            </w:r>
          </w:p>
        </w:tc>
      </w:tr>
      <w:tr>
        <w:trPr>
          <w:trHeight w:val="196"/>
        </w:trPr>
        <w:tc>
          <w:tcPr>
            <w:tcW w:w="8780" w:type="dxa"/>
            <w:vAlign w:val="bottom"/>
          </w:tcPr>
          <w:p>
            <w:pPr>
              <w:spacing w:after="0"/>
              <w:rPr>
                <w:sz w:val="20"/>
                <w:szCs w:val="20"/>
                <w:color w:val="auto"/>
              </w:rPr>
            </w:pPr>
            <w:r>
              <w:rPr>
                <w:rFonts w:ascii="Arial" w:cs="Arial" w:eastAsia="Arial" w:hAnsi="Arial"/>
                <w:sz w:val="16"/>
                <w:szCs w:val="16"/>
                <w:b w:val="1"/>
                <w:bCs w:val="1"/>
                <w:color w:val="auto"/>
              </w:rPr>
              <w:t>Cash Flows From Financing Activities</w:t>
            </w:r>
          </w:p>
        </w:tc>
        <w:tc>
          <w:tcPr>
            <w:tcW w:w="2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Net borrowings (repayments) of debt with maturities of 90 days or less</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(32)</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146</w:t>
            </w: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Debt with maturities of greater than 90 days:</w:t>
            </w:r>
          </w:p>
        </w:tc>
        <w:tc>
          <w:tcPr>
            <w:tcW w:w="2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6"/>
        </w:trPr>
        <w:tc>
          <w:tcPr>
            <w:tcW w:w="8780" w:type="dxa"/>
            <w:vAlign w:val="bottom"/>
          </w:tcPr>
          <w:p>
            <w:pPr>
              <w:ind w:left="320"/>
              <w:spacing w:after="0"/>
              <w:rPr>
                <w:sz w:val="20"/>
                <w:szCs w:val="20"/>
                <w:color w:val="auto"/>
              </w:rPr>
            </w:pPr>
            <w:r>
              <w:rPr>
                <w:rFonts w:ascii="Arial" w:cs="Arial" w:eastAsia="Arial" w:hAnsi="Arial"/>
                <w:sz w:val="16"/>
                <w:szCs w:val="16"/>
                <w:color w:val="auto"/>
              </w:rPr>
              <w:t>Borrowings</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750</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1,000</w:t>
            </w:r>
          </w:p>
        </w:tc>
      </w:tr>
      <w:tr>
        <w:trPr>
          <w:trHeight w:val="216"/>
        </w:trPr>
        <w:tc>
          <w:tcPr>
            <w:tcW w:w="8780" w:type="dxa"/>
            <w:vAlign w:val="bottom"/>
          </w:tcPr>
          <w:p>
            <w:pPr>
              <w:ind w:left="320"/>
              <w:spacing w:after="0"/>
              <w:rPr>
                <w:sz w:val="20"/>
                <w:szCs w:val="20"/>
                <w:color w:val="auto"/>
              </w:rPr>
            </w:pPr>
            <w:r>
              <w:rPr>
                <w:rFonts w:ascii="Arial" w:cs="Arial" w:eastAsia="Arial" w:hAnsi="Arial"/>
                <w:sz w:val="16"/>
                <w:szCs w:val="16"/>
                <w:color w:val="auto"/>
              </w:rPr>
              <w:t>Repayments</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(508)</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Proceeds from sale of Class A shares of Hess Midstream LP</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70</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Payments on finance lease obligations</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(6)</w:t>
            </w: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Cash dividends paid</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(234)</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(233)</w:t>
            </w: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Employee stock options exercised</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75</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15</w:t>
            </w: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Noncontrolling interests, net</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(589)</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(194)</w:t>
            </w:r>
          </w:p>
        </w:tc>
      </w:tr>
      <w:tr>
        <w:trPr>
          <w:trHeight w:val="216"/>
        </w:trPr>
        <w:tc>
          <w:tcPr>
            <w:tcW w:w="8780" w:type="dxa"/>
            <w:vAlign w:val="bottom"/>
          </w:tcPr>
          <w:p>
            <w:pPr>
              <w:ind w:left="120"/>
              <w:spacing w:after="0"/>
              <w:rPr>
                <w:sz w:val="20"/>
                <w:szCs w:val="20"/>
                <w:color w:val="auto"/>
              </w:rPr>
            </w:pPr>
            <w:r>
              <w:rPr>
                <w:rFonts w:ascii="Arial" w:cs="Arial" w:eastAsia="Arial" w:hAnsi="Arial"/>
                <w:sz w:val="16"/>
                <w:szCs w:val="16"/>
                <w:color w:val="auto"/>
              </w:rPr>
              <w:t>Other, net</w:t>
            </w:r>
          </w:p>
        </w:tc>
        <w:tc>
          <w:tcPr>
            <w:tcW w:w="2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w:t>
            </w:r>
          </w:p>
        </w:tc>
        <w:tc>
          <w:tcPr>
            <w:tcW w:w="10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w:t>
            </w:r>
          </w:p>
        </w:tc>
      </w:tr>
      <w:tr>
        <w:trPr>
          <w:trHeight w:val="210"/>
        </w:trPr>
        <w:tc>
          <w:tcPr>
            <w:tcW w:w="8780" w:type="dxa"/>
            <w:vAlign w:val="bottom"/>
          </w:tcPr>
          <w:p>
            <w:pPr>
              <w:ind w:left="980"/>
              <w:spacing w:after="0"/>
              <w:rPr>
                <w:sz w:val="20"/>
                <w:szCs w:val="20"/>
                <w:color w:val="auto"/>
              </w:rPr>
            </w:pPr>
            <w:r>
              <w:rPr>
                <w:rFonts w:ascii="Arial" w:cs="Arial" w:eastAsia="Arial" w:hAnsi="Arial"/>
                <w:sz w:val="16"/>
                <w:szCs w:val="16"/>
                <w:color w:val="auto"/>
              </w:rPr>
              <w:t>Net cash provided by (used in) financing activities</w:t>
            </w:r>
          </w:p>
        </w:tc>
        <w:tc>
          <w:tcPr>
            <w:tcW w:w="2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(496)</w:t>
            </w:r>
          </w:p>
        </w:tc>
        <w:tc>
          <w:tcPr>
            <w:tcW w:w="10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707</w:t>
            </w:r>
          </w:p>
        </w:tc>
      </w:tr>
      <w:tr>
        <w:trPr>
          <w:trHeight w:val="209"/>
        </w:trPr>
        <w:tc>
          <w:tcPr>
            <w:tcW w:w="8780" w:type="dxa"/>
            <w:vAlign w:val="bottom"/>
          </w:tcPr>
          <w:p>
            <w:pPr>
              <w:spacing w:after="0"/>
              <w:rPr>
                <w:sz w:val="20"/>
                <w:szCs w:val="20"/>
                <w:color w:val="auto"/>
              </w:rPr>
            </w:pPr>
            <w:r>
              <w:rPr>
                <w:rFonts w:ascii="Arial" w:cs="Arial" w:eastAsia="Arial" w:hAnsi="Arial"/>
                <w:sz w:val="16"/>
                <w:szCs w:val="16"/>
                <w:b w:val="1"/>
                <w:bCs w:val="1"/>
                <w:color w:val="auto"/>
              </w:rPr>
              <w:t>Net Increase (Decrease) in Cash and Cash Equivalents</w:t>
            </w: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680</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(260)</w:t>
            </w:r>
          </w:p>
        </w:tc>
      </w:tr>
      <w:tr>
        <w:trPr>
          <w:trHeight w:val="219"/>
        </w:trPr>
        <w:tc>
          <w:tcPr>
            <w:tcW w:w="8780" w:type="dxa"/>
            <w:vAlign w:val="bottom"/>
          </w:tcPr>
          <w:p>
            <w:pPr>
              <w:spacing w:after="0"/>
              <w:rPr>
                <w:sz w:val="20"/>
                <w:szCs w:val="20"/>
                <w:color w:val="auto"/>
              </w:rPr>
            </w:pPr>
            <w:r>
              <w:rPr>
                <w:rFonts w:ascii="Arial" w:cs="Arial" w:eastAsia="Arial" w:hAnsi="Arial"/>
                <w:sz w:val="16"/>
                <w:szCs w:val="16"/>
                <w:b w:val="1"/>
                <w:bCs w:val="1"/>
                <w:color w:val="auto"/>
              </w:rPr>
              <w:t>Cash and Cash Equivalents at Beginning of Year</w:t>
            </w: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1,739</w:t>
            </w:r>
          </w:p>
        </w:tc>
        <w:tc>
          <w:tcPr>
            <w:tcW w:w="10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1,545</w:t>
            </w:r>
          </w:p>
        </w:tc>
      </w:tr>
      <w:tr>
        <w:trPr>
          <w:trHeight w:val="213"/>
        </w:trPr>
        <w:tc>
          <w:tcPr>
            <w:tcW w:w="8780" w:type="dxa"/>
            <w:vAlign w:val="bottom"/>
          </w:tcPr>
          <w:p>
            <w:pPr>
              <w:spacing w:after="0"/>
              <w:rPr>
                <w:sz w:val="20"/>
                <w:szCs w:val="20"/>
                <w:color w:val="auto"/>
              </w:rPr>
            </w:pPr>
            <w:r>
              <w:rPr>
                <w:rFonts w:ascii="Arial" w:cs="Arial" w:eastAsia="Arial" w:hAnsi="Arial"/>
                <w:sz w:val="16"/>
                <w:szCs w:val="16"/>
                <w:b w:val="1"/>
                <w:bCs w:val="1"/>
                <w:color w:val="auto"/>
              </w:rPr>
              <w:t>Cash and Cash Equivalents at End of Period</w:t>
            </w:r>
          </w:p>
        </w:tc>
        <w:tc>
          <w:tcPr>
            <w:tcW w:w="26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2,419</w:t>
            </w:r>
          </w:p>
        </w:tc>
        <w:tc>
          <w:tcPr>
            <w:tcW w:w="100" w:type="dxa"/>
            <w:vAlign w:val="bottom"/>
          </w:tcPr>
          <w:p>
            <w:pPr>
              <w:spacing w:after="0"/>
              <w:rPr>
                <w:sz w:val="18"/>
                <w:szCs w:val="18"/>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1,285</w:t>
            </w:r>
          </w:p>
        </w:tc>
      </w:tr>
      <w:tr>
        <w:trPr>
          <w:trHeight w:val="20"/>
        </w:trPr>
        <w:tc>
          <w:tcPr>
            <w:tcW w:w="87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70485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60" w:top="769" w:right="359" w:bottom="1440" w:gutter="0" w:footer="0" w:header="0"/>
        </w:sectPr>
      </w:pPr>
    </w:p>
    <w:bookmarkStart w:id="6" w:name="page7"/>
    <w:bookmarkEnd w:id="6"/>
    <w:p>
      <w:pPr>
        <w:jc w:val="center"/>
        <w:ind w:right="4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5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STATEMENT OF CONSOLIDATED EQUITY (UNAUDITED)</w:t>
      </w:r>
    </w:p>
    <w:p>
      <w:pPr>
        <w:spacing w:after="0" w:line="22"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9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3"/>
              </w:rPr>
              <w:t>Accumulated</w:t>
            </w:r>
          </w:p>
        </w:tc>
        <w:tc>
          <w:tcPr>
            <w:tcW w:w="140" w:type="dxa"/>
            <w:vAlign w:val="bottom"/>
          </w:tcPr>
          <w:p>
            <w:pPr>
              <w:spacing w:after="0"/>
              <w:rPr>
                <w:sz w:val="13"/>
                <w:szCs w:val="13"/>
                <w:color w:val="auto"/>
              </w:rPr>
            </w:pPr>
          </w:p>
        </w:tc>
        <w:tc>
          <w:tcPr>
            <w:tcW w:w="110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91"/>
              </w:rPr>
              <w:t>Total Hess</w:t>
            </w:r>
          </w:p>
        </w:tc>
        <w:tc>
          <w:tcPr>
            <w:tcW w:w="12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9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95"/>
              </w:rPr>
              <w:t>Common</w:t>
            </w:r>
          </w:p>
        </w:tc>
        <w:tc>
          <w:tcPr>
            <w:tcW w:w="100" w:type="dxa"/>
            <w:vAlign w:val="bottom"/>
          </w:tcPr>
          <w:p>
            <w:pPr>
              <w:spacing w:after="0"/>
              <w:rPr>
                <w:sz w:val="11"/>
                <w:szCs w:val="11"/>
                <w:color w:val="auto"/>
              </w:rPr>
            </w:pPr>
          </w:p>
        </w:tc>
        <w:tc>
          <w:tcPr>
            <w:tcW w:w="800" w:type="dxa"/>
            <w:vAlign w:val="bottom"/>
            <w:gridSpan w:val="2"/>
            <w:vMerge w:val="restart"/>
          </w:tcPr>
          <w:p>
            <w:pPr>
              <w:ind w:left="20"/>
              <w:spacing w:after="0"/>
              <w:rPr>
                <w:sz w:val="20"/>
                <w:szCs w:val="20"/>
                <w:color w:val="auto"/>
              </w:rPr>
            </w:pPr>
            <w:r>
              <w:rPr>
                <w:rFonts w:ascii="Arial" w:cs="Arial" w:eastAsia="Arial" w:hAnsi="Arial"/>
                <w:sz w:val="13"/>
                <w:szCs w:val="13"/>
                <w:b w:val="1"/>
                <w:bCs w:val="1"/>
                <w:color w:val="auto"/>
              </w:rPr>
              <w:t>Capital in</w:t>
            </w:r>
          </w:p>
        </w:tc>
        <w:tc>
          <w:tcPr>
            <w:tcW w:w="120" w:type="dxa"/>
            <w:vAlign w:val="bottom"/>
          </w:tcPr>
          <w:p>
            <w:pPr>
              <w:spacing w:after="0"/>
              <w:rPr>
                <w:sz w:val="11"/>
                <w:szCs w:val="11"/>
                <w:color w:val="auto"/>
              </w:rPr>
            </w:pPr>
          </w:p>
        </w:tc>
        <w:tc>
          <w:tcPr>
            <w:tcW w:w="800" w:type="dxa"/>
            <w:vAlign w:val="bottom"/>
            <w:gridSpan w:val="2"/>
            <w:vMerge w:val="restart"/>
          </w:tcPr>
          <w:p>
            <w:pPr>
              <w:ind w:left="40"/>
              <w:spacing w:after="0"/>
              <w:rPr>
                <w:sz w:val="20"/>
                <w:szCs w:val="20"/>
                <w:color w:val="auto"/>
              </w:rPr>
            </w:pPr>
            <w:r>
              <w:rPr>
                <w:rFonts w:ascii="Arial" w:cs="Arial" w:eastAsia="Arial" w:hAnsi="Arial"/>
                <w:sz w:val="13"/>
                <w:szCs w:val="13"/>
                <w:b w:val="1"/>
                <w:bCs w:val="1"/>
                <w:color w:val="auto"/>
              </w:rPr>
              <w:t>Retained</w:t>
            </w:r>
          </w:p>
        </w:tc>
        <w:tc>
          <w:tcPr>
            <w:tcW w:w="120" w:type="dxa"/>
            <w:vAlign w:val="bottom"/>
          </w:tcPr>
          <w:p>
            <w:pPr>
              <w:spacing w:after="0"/>
              <w:rPr>
                <w:sz w:val="11"/>
                <w:szCs w:val="11"/>
                <w:color w:val="auto"/>
              </w:rPr>
            </w:pPr>
          </w:p>
        </w:tc>
        <w:tc>
          <w:tcPr>
            <w:tcW w:w="11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97"/>
              </w:rPr>
              <w:t>Other</w:t>
            </w:r>
          </w:p>
        </w:tc>
        <w:tc>
          <w:tcPr>
            <w:tcW w:w="140" w:type="dxa"/>
            <w:vAlign w:val="bottom"/>
          </w:tcPr>
          <w:p>
            <w:pPr>
              <w:spacing w:after="0"/>
              <w:rPr>
                <w:sz w:val="11"/>
                <w:szCs w:val="11"/>
                <w:color w:val="auto"/>
              </w:rPr>
            </w:pPr>
          </w:p>
        </w:tc>
        <w:tc>
          <w:tcPr>
            <w:tcW w:w="110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vMerge w:val="restart"/>
          </w:tcPr>
          <w:p>
            <w:pPr>
              <w:jc w:val="center"/>
              <w:ind w:right="220"/>
              <w:spacing w:after="0"/>
              <w:rPr>
                <w:sz w:val="20"/>
                <w:szCs w:val="20"/>
                <w:color w:val="auto"/>
              </w:rPr>
            </w:pPr>
            <w:r>
              <w:rPr>
                <w:rFonts w:ascii="Arial" w:cs="Arial" w:eastAsia="Arial" w:hAnsi="Arial"/>
                <w:sz w:val="13"/>
                <w:szCs w:val="13"/>
                <w:b w:val="1"/>
                <w:bCs w:val="1"/>
                <w:color w:val="auto"/>
                <w:w w:val="95"/>
              </w:rPr>
              <w:t>Noncontrolling</w:t>
            </w: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9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gridSpan w:val="2"/>
          </w:tcPr>
          <w:p>
            <w:pPr>
              <w:jc w:val="center"/>
              <w:ind w:right="200"/>
              <w:spacing w:after="0" w:line="135" w:lineRule="exact"/>
              <w:rPr>
                <w:sz w:val="20"/>
                <w:szCs w:val="20"/>
                <w:color w:val="auto"/>
              </w:rPr>
            </w:pPr>
            <w:r>
              <w:rPr>
                <w:rFonts w:ascii="Arial" w:cs="Arial" w:eastAsia="Arial" w:hAnsi="Arial"/>
                <w:sz w:val="13"/>
                <w:szCs w:val="13"/>
                <w:b w:val="1"/>
                <w:bCs w:val="1"/>
                <w:color w:val="auto"/>
                <w:w w:val="92"/>
              </w:rPr>
              <w:t>Comprehensive</w:t>
            </w:r>
          </w:p>
        </w:tc>
        <w:tc>
          <w:tcPr>
            <w:tcW w:w="140" w:type="dxa"/>
            <w:vAlign w:val="bottom"/>
          </w:tcPr>
          <w:p>
            <w:pPr>
              <w:spacing w:after="0"/>
              <w:rPr>
                <w:sz w:val="11"/>
                <w:szCs w:val="11"/>
                <w:color w:val="auto"/>
              </w:rPr>
            </w:pPr>
          </w:p>
        </w:tc>
        <w:tc>
          <w:tcPr>
            <w:tcW w:w="1100" w:type="dxa"/>
            <w:vAlign w:val="bottom"/>
            <w:gridSpan w:val="2"/>
          </w:tcPr>
          <w:p>
            <w:pPr>
              <w:jc w:val="center"/>
              <w:ind w:right="240"/>
              <w:spacing w:after="0" w:line="135" w:lineRule="exact"/>
              <w:rPr>
                <w:sz w:val="20"/>
                <w:szCs w:val="20"/>
                <w:color w:val="auto"/>
              </w:rPr>
            </w:pPr>
            <w:r>
              <w:rPr>
                <w:rFonts w:ascii="Arial" w:cs="Arial" w:eastAsia="Arial" w:hAnsi="Arial"/>
                <w:sz w:val="13"/>
                <w:szCs w:val="13"/>
                <w:b w:val="1"/>
                <w:bCs w:val="1"/>
                <w:color w:val="auto"/>
                <w:w w:val="91"/>
              </w:rPr>
              <w:t>Stockholders'</w:t>
            </w:r>
          </w:p>
        </w:tc>
        <w:tc>
          <w:tcPr>
            <w:tcW w:w="120" w:type="dxa"/>
            <w:vAlign w:val="bottom"/>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840" w:type="dxa"/>
            <w:vAlign w:val="bottom"/>
            <w:gridSpan w:val="2"/>
            <w:vMerge w:val="restart"/>
          </w:tcPr>
          <w:p>
            <w:pPr>
              <w:jc w:val="right"/>
              <w:spacing w:after="0"/>
              <w:rPr>
                <w:sz w:val="20"/>
                <w:szCs w:val="20"/>
                <w:color w:val="auto"/>
              </w:rPr>
            </w:pPr>
            <w:r>
              <w:rPr>
                <w:rFonts w:ascii="Arial" w:cs="Arial" w:eastAsia="Arial" w:hAnsi="Arial"/>
                <w:sz w:val="13"/>
                <w:szCs w:val="13"/>
                <w:b w:val="1"/>
                <w:bCs w:val="1"/>
                <w:color w:val="auto"/>
                <w:w w:val="99"/>
              </w:rPr>
              <w:t>Total Equity</w:t>
            </w:r>
          </w:p>
        </w:tc>
        <w:tc>
          <w:tcPr>
            <w:tcW w:w="0" w:type="dxa"/>
            <w:vAlign w:val="bottom"/>
          </w:tcPr>
          <w:p>
            <w:pPr>
              <w:spacing w:after="0"/>
              <w:rPr>
                <w:sz w:val="1"/>
                <w:szCs w:val="1"/>
                <w:color w:val="auto"/>
              </w:rPr>
            </w:pPr>
          </w:p>
        </w:tc>
      </w:tr>
      <w:tr>
        <w:trPr>
          <w:trHeight w:val="182"/>
        </w:trPr>
        <w:tc>
          <w:tcPr>
            <w:tcW w:w="29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0"/>
              </w:rPr>
              <w:t>Stock</w:t>
            </w:r>
          </w:p>
        </w:tc>
        <w:tc>
          <w:tcPr>
            <w:tcW w:w="900" w:type="dxa"/>
            <w:vAlign w:val="bottom"/>
            <w:gridSpan w:val="3"/>
          </w:tcPr>
          <w:p>
            <w:pPr>
              <w:ind w:left="20"/>
              <w:spacing w:after="0"/>
              <w:rPr>
                <w:sz w:val="20"/>
                <w:szCs w:val="20"/>
                <w:color w:val="auto"/>
              </w:rPr>
            </w:pPr>
            <w:r>
              <w:rPr>
                <w:rFonts w:ascii="Arial" w:cs="Arial" w:eastAsia="Arial" w:hAnsi="Arial"/>
                <w:sz w:val="13"/>
                <w:szCs w:val="13"/>
                <w:b w:val="1"/>
                <w:bCs w:val="1"/>
                <w:color w:val="auto"/>
              </w:rPr>
              <w:t>Excess of Par</w:t>
            </w:r>
          </w:p>
        </w:tc>
        <w:tc>
          <w:tcPr>
            <w:tcW w:w="120" w:type="dxa"/>
            <w:vAlign w:val="bottom"/>
          </w:tcPr>
          <w:p>
            <w:pPr>
              <w:spacing w:after="0"/>
              <w:rPr>
                <w:sz w:val="15"/>
                <w:szCs w:val="15"/>
                <w:color w:val="auto"/>
              </w:rPr>
            </w:pPr>
          </w:p>
        </w:tc>
        <w:tc>
          <w:tcPr>
            <w:tcW w:w="800" w:type="dxa"/>
            <w:vAlign w:val="bottom"/>
            <w:gridSpan w:val="2"/>
          </w:tcPr>
          <w:p>
            <w:pPr>
              <w:ind w:left="40"/>
              <w:spacing w:after="0"/>
              <w:rPr>
                <w:sz w:val="20"/>
                <w:szCs w:val="20"/>
                <w:color w:val="auto"/>
              </w:rPr>
            </w:pPr>
            <w:r>
              <w:rPr>
                <w:rFonts w:ascii="Arial" w:cs="Arial" w:eastAsia="Arial" w:hAnsi="Arial"/>
                <w:sz w:val="13"/>
                <w:szCs w:val="13"/>
                <w:b w:val="1"/>
                <w:bCs w:val="1"/>
                <w:color w:val="auto"/>
              </w:rPr>
              <w:t>Earnings</w:t>
            </w:r>
          </w:p>
        </w:tc>
        <w:tc>
          <w:tcPr>
            <w:tcW w:w="120" w:type="dxa"/>
            <w:vAlign w:val="bottom"/>
          </w:tcPr>
          <w:p>
            <w:pPr>
              <w:spacing w:after="0"/>
              <w:rPr>
                <w:sz w:val="15"/>
                <w:szCs w:val="15"/>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2"/>
              </w:rPr>
              <w:t>Income (Loss)</w:t>
            </w:r>
          </w:p>
        </w:tc>
        <w:tc>
          <w:tcPr>
            <w:tcW w:w="140" w:type="dxa"/>
            <w:vAlign w:val="bottom"/>
          </w:tcPr>
          <w:p>
            <w:pPr>
              <w:spacing w:after="0"/>
              <w:rPr>
                <w:sz w:val="15"/>
                <w:szCs w:val="15"/>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5"/>
              </w:rPr>
              <w:t>Equity</w:t>
            </w:r>
          </w:p>
        </w:tc>
        <w:tc>
          <w:tcPr>
            <w:tcW w:w="120" w:type="dxa"/>
            <w:vAlign w:val="bottom"/>
          </w:tcPr>
          <w:p>
            <w:pPr>
              <w:spacing w:after="0"/>
              <w:rPr>
                <w:sz w:val="15"/>
                <w:szCs w:val="15"/>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2"/>
              </w:rPr>
              <w:t>Interests</w:t>
            </w:r>
          </w:p>
        </w:tc>
        <w:tc>
          <w:tcPr>
            <w:tcW w:w="84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19"/>
        </w:trPr>
        <w:tc>
          <w:tcPr>
            <w:tcW w:w="304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93"/>
              </w:rPr>
              <w:t>For the Three Months Ended September 30, 2021</w:t>
            </w:r>
          </w:p>
        </w:tc>
        <w:tc>
          <w:tcPr>
            <w:tcW w:w="78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06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02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06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64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3820" w:type="dxa"/>
            <w:vAlign w:val="bottom"/>
            <w:gridSpan w:val="3"/>
          </w:tcPr>
          <w:p>
            <w:pPr>
              <w:ind w:left="120"/>
              <w:spacing w:after="0"/>
              <w:rPr>
                <w:sz w:val="20"/>
                <w:szCs w:val="20"/>
                <w:color w:val="auto"/>
              </w:rPr>
            </w:pPr>
            <w:r>
              <w:rPr>
                <w:rFonts w:ascii="Arial" w:cs="Arial" w:eastAsia="Arial" w:hAnsi="Arial"/>
                <w:sz w:val="16"/>
                <w:szCs w:val="16"/>
                <w:color w:val="auto"/>
              </w:rPr>
              <w:t>Balance at July 1, 2021</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310</w:t>
            </w:r>
          </w:p>
        </w:tc>
        <w:tc>
          <w:tcPr>
            <w:tcW w:w="80" w:type="dxa"/>
            <w:vAlign w:val="bottom"/>
          </w:tcPr>
          <w:p>
            <w:pPr>
              <w:spacing w:after="0"/>
              <w:rPr>
                <w:sz w:val="20"/>
                <w:szCs w:val="20"/>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5,859</w:t>
            </w:r>
          </w:p>
        </w:tc>
        <w:tc>
          <w:tcPr>
            <w:tcW w:w="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155</w:t>
            </w:r>
          </w:p>
        </w:tc>
        <w:tc>
          <w:tcPr>
            <w:tcW w:w="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(836)</w:t>
            </w:r>
          </w:p>
        </w:tc>
        <w:tc>
          <w:tcPr>
            <w:tcW w:w="8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5,488</w:t>
            </w:r>
          </w:p>
        </w:tc>
        <w:tc>
          <w:tcPr>
            <w:tcW w:w="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1,044</w:t>
            </w:r>
          </w:p>
        </w:tc>
        <w:tc>
          <w:tcPr>
            <w:tcW w:w="80" w:type="dxa"/>
            <w:vAlign w:val="bottom"/>
          </w:tcPr>
          <w:p>
            <w:pPr>
              <w:spacing w:after="0"/>
              <w:rPr>
                <w:sz w:val="20"/>
                <w:szCs w:val="20"/>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6,532</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Net income (loss)</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115</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115</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70</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185</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Other comprehensive income (loss)</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40</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40</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40</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Share-based compensation</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16</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Dividends on common stock</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(78)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(78)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(78)</w:t>
            </w:r>
          </w:p>
        </w:tc>
        <w:tc>
          <w:tcPr>
            <w:tcW w:w="0" w:type="dxa"/>
            <w:vAlign w:val="bottom"/>
          </w:tcPr>
          <w:p>
            <w:pPr>
              <w:spacing w:after="0"/>
              <w:rPr>
                <w:sz w:val="1"/>
                <w:szCs w:val="1"/>
                <w:color w:val="auto"/>
              </w:rPr>
            </w:pPr>
          </w:p>
        </w:tc>
      </w:tr>
      <w:tr>
        <w:trPr>
          <w:trHeight w:val="172"/>
        </w:trPr>
        <w:tc>
          <w:tcPr>
            <w:tcW w:w="3820" w:type="dxa"/>
            <w:vAlign w:val="bottom"/>
            <w:gridSpan w:val="3"/>
          </w:tcPr>
          <w:p>
            <w:pPr>
              <w:ind w:left="200"/>
              <w:spacing w:after="0" w:line="171" w:lineRule="exact"/>
              <w:rPr>
                <w:sz w:val="20"/>
                <w:szCs w:val="20"/>
                <w:color w:val="auto"/>
              </w:rPr>
            </w:pPr>
            <w:r>
              <w:rPr>
                <w:rFonts w:ascii="Arial" w:cs="Arial" w:eastAsia="Arial" w:hAnsi="Arial"/>
                <w:sz w:val="16"/>
                <w:szCs w:val="16"/>
                <w:color w:val="auto"/>
              </w:rPr>
              <w:t>Repurchase of Class B units of Hess Midstream</w:t>
            </w:r>
          </w:p>
        </w:tc>
        <w:tc>
          <w:tcPr>
            <w:tcW w:w="120" w:type="dxa"/>
            <w:vAlign w:val="bottom"/>
          </w:tcPr>
          <w:p>
            <w:pPr>
              <w:spacing w:after="0"/>
              <w:rPr>
                <w:sz w:val="14"/>
                <w:szCs w:val="14"/>
                <w:color w:val="auto"/>
              </w:rPr>
            </w:pPr>
          </w:p>
        </w:tc>
        <w:tc>
          <w:tcPr>
            <w:tcW w:w="800" w:type="dxa"/>
            <w:vAlign w:val="bottom"/>
            <w:gridSpan w:val="2"/>
            <w:vMerge w:val="restart"/>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4"/>
                <w:szCs w:val="14"/>
                <w:color w:val="auto"/>
              </w:rPr>
            </w:pPr>
          </w:p>
        </w:tc>
        <w:tc>
          <w:tcPr>
            <w:tcW w:w="720" w:type="dxa"/>
            <w:vAlign w:val="bottom"/>
            <w:vMerge w:val="restart"/>
          </w:tcPr>
          <w:p>
            <w:pPr>
              <w:jc w:val="right"/>
              <w:spacing w:after="0"/>
              <w:rPr>
                <w:sz w:val="20"/>
                <w:szCs w:val="20"/>
                <w:color w:val="auto"/>
              </w:rPr>
            </w:pPr>
            <w:r>
              <w:rPr>
                <w:rFonts w:ascii="Arial" w:cs="Arial" w:eastAsia="Arial" w:hAnsi="Arial"/>
                <w:sz w:val="16"/>
                <w:szCs w:val="16"/>
                <w:color w:val="auto"/>
              </w:rPr>
              <w:t>28</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vMerge w:val="restart"/>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4"/>
                <w:szCs w:val="14"/>
                <w:color w:val="auto"/>
              </w:rPr>
            </w:pPr>
          </w:p>
        </w:tc>
        <w:tc>
          <w:tcPr>
            <w:tcW w:w="1140" w:type="dxa"/>
            <w:vAlign w:val="bottom"/>
            <w:gridSpan w:val="2"/>
            <w:vMerge w:val="restart"/>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4"/>
                <w:szCs w:val="14"/>
                <w:color w:val="auto"/>
              </w:rPr>
            </w:pPr>
          </w:p>
        </w:tc>
        <w:tc>
          <w:tcPr>
            <w:tcW w:w="1020" w:type="dxa"/>
            <w:vAlign w:val="bottom"/>
            <w:vMerge w:val="restart"/>
          </w:tcPr>
          <w:p>
            <w:pPr>
              <w:jc w:val="right"/>
              <w:spacing w:after="0"/>
              <w:rPr>
                <w:sz w:val="20"/>
                <w:szCs w:val="20"/>
                <w:color w:val="auto"/>
              </w:rPr>
            </w:pPr>
            <w:r>
              <w:rPr>
                <w:rFonts w:ascii="Arial" w:cs="Arial" w:eastAsia="Arial" w:hAnsi="Arial"/>
                <w:sz w:val="16"/>
                <w:szCs w:val="16"/>
                <w:color w:val="auto"/>
              </w:rPr>
              <w:t>28</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Arial" w:cs="Arial" w:eastAsia="Arial" w:hAnsi="Arial"/>
                <w:sz w:val="16"/>
                <w:szCs w:val="16"/>
                <w:color w:val="auto"/>
              </w:rPr>
              <w:t>(390)</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(362)</w:t>
            </w:r>
          </w:p>
        </w:tc>
        <w:tc>
          <w:tcPr>
            <w:tcW w:w="0" w:type="dxa"/>
            <w:vAlign w:val="bottom"/>
          </w:tcPr>
          <w:p>
            <w:pPr>
              <w:spacing w:after="0"/>
              <w:rPr>
                <w:sz w:val="1"/>
                <w:szCs w:val="1"/>
                <w:color w:val="auto"/>
              </w:rPr>
            </w:pPr>
          </w:p>
        </w:tc>
      </w:tr>
      <w:tr>
        <w:trPr>
          <w:trHeight w:val="212"/>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Operations LP</w:t>
            </w:r>
          </w:p>
        </w:tc>
        <w:tc>
          <w:tcPr>
            <w:tcW w:w="120" w:type="dxa"/>
            <w:vAlign w:val="bottom"/>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Noncontrolling interests, net</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(77)</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(77)</w:t>
            </w:r>
          </w:p>
        </w:tc>
        <w:tc>
          <w:tcPr>
            <w:tcW w:w="0" w:type="dxa"/>
            <w:vAlign w:val="bottom"/>
          </w:tcPr>
          <w:p>
            <w:pPr>
              <w:spacing w:after="0"/>
              <w:rPr>
                <w:sz w:val="1"/>
                <w:szCs w:val="1"/>
                <w:color w:val="auto"/>
              </w:rPr>
            </w:pPr>
          </w:p>
        </w:tc>
      </w:tr>
      <w:tr>
        <w:trPr>
          <w:trHeight w:val="212"/>
        </w:trPr>
        <w:tc>
          <w:tcPr>
            <w:tcW w:w="3820" w:type="dxa"/>
            <w:vAlign w:val="bottom"/>
            <w:gridSpan w:val="3"/>
          </w:tcPr>
          <w:p>
            <w:pPr>
              <w:ind w:left="120"/>
              <w:spacing w:after="0"/>
              <w:rPr>
                <w:sz w:val="20"/>
                <w:szCs w:val="20"/>
                <w:color w:val="auto"/>
              </w:rPr>
            </w:pPr>
            <w:r>
              <w:rPr>
                <w:rFonts w:ascii="Arial" w:cs="Arial" w:eastAsia="Arial" w:hAnsi="Arial"/>
                <w:sz w:val="16"/>
                <w:szCs w:val="16"/>
                <w:color w:val="auto"/>
              </w:rPr>
              <w:t>Balance at September 30, 2021</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310</w:t>
            </w:r>
          </w:p>
        </w:tc>
        <w:tc>
          <w:tcPr>
            <w:tcW w:w="80" w:type="dxa"/>
            <w:vAlign w:val="bottom"/>
          </w:tcPr>
          <w:p>
            <w:pPr>
              <w:spacing w:after="0"/>
              <w:rPr>
                <w:sz w:val="18"/>
                <w:szCs w:val="18"/>
                <w:color w:val="auto"/>
              </w:rPr>
            </w:pPr>
          </w:p>
        </w:tc>
        <w:tc>
          <w:tcPr>
            <w:tcW w:w="1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5,903</w:t>
            </w: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192</w:t>
            </w: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(796)</w:t>
            </w:r>
          </w:p>
        </w:tc>
        <w:tc>
          <w:tcPr>
            <w:tcW w:w="8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5,609</w:t>
            </w: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647</w:t>
            </w:r>
          </w:p>
        </w:tc>
        <w:tc>
          <w:tcPr>
            <w:tcW w:w="8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6,256</w:t>
            </w:r>
          </w:p>
        </w:tc>
        <w:tc>
          <w:tcPr>
            <w:tcW w:w="0" w:type="dxa"/>
            <w:vAlign w:val="bottom"/>
          </w:tcPr>
          <w:p>
            <w:pPr>
              <w:spacing w:after="0"/>
              <w:rPr>
                <w:sz w:val="1"/>
                <w:szCs w:val="1"/>
                <w:color w:val="auto"/>
              </w:rPr>
            </w:pPr>
          </w:p>
        </w:tc>
      </w:tr>
      <w:tr>
        <w:trPr>
          <w:trHeight w:val="21"/>
        </w:trPr>
        <w:tc>
          <w:tcPr>
            <w:tcW w:w="3040" w:type="dxa"/>
            <w:vAlign w:val="bottom"/>
            <w:gridSpan w:val="2"/>
            <w:vMerge w:val="restart"/>
          </w:tcPr>
          <w:p>
            <w:pPr>
              <w:spacing w:after="0" w:line="155" w:lineRule="exact"/>
              <w:rPr>
                <w:sz w:val="20"/>
                <w:szCs w:val="20"/>
                <w:color w:val="auto"/>
              </w:rPr>
            </w:pPr>
            <w:r>
              <w:rPr>
                <w:rFonts w:ascii="Arial" w:cs="Arial" w:eastAsia="Arial" w:hAnsi="Arial"/>
                <w:sz w:val="14"/>
                <w:szCs w:val="14"/>
                <w:b w:val="1"/>
                <w:bCs w:val="1"/>
                <w:color w:val="auto"/>
                <w:w w:val="93"/>
              </w:rPr>
              <w:t>For the Three Months Ended September 30, 2020</w:t>
            </w:r>
          </w:p>
        </w:tc>
        <w:tc>
          <w:tcPr>
            <w:tcW w:w="780" w:type="dxa"/>
            <w:vAlign w:val="bottom"/>
            <w:vMerge w:val="restart"/>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0"/>
        </w:trPr>
        <w:tc>
          <w:tcPr>
            <w:tcW w:w="3040" w:type="dxa"/>
            <w:vAlign w:val="bottom"/>
            <w:tcBorders>
              <w:bottom w:val="single" w:sz="8" w:color="auto"/>
            </w:tcBorders>
            <w:gridSpan w:val="2"/>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1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1"/>
        </w:trPr>
        <w:tc>
          <w:tcPr>
            <w:tcW w:w="3820" w:type="dxa"/>
            <w:vAlign w:val="bottom"/>
            <w:gridSpan w:val="3"/>
          </w:tcPr>
          <w:p>
            <w:pPr>
              <w:ind w:left="120"/>
              <w:spacing w:after="0"/>
              <w:rPr>
                <w:sz w:val="20"/>
                <w:szCs w:val="20"/>
                <w:color w:val="auto"/>
              </w:rPr>
            </w:pPr>
            <w:r>
              <w:rPr>
                <w:rFonts w:ascii="Arial" w:cs="Arial" w:eastAsia="Arial" w:hAnsi="Arial"/>
                <w:sz w:val="16"/>
                <w:szCs w:val="16"/>
                <w:color w:val="auto"/>
              </w:rPr>
              <w:t>Balance at July 1, 2020</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307</w:t>
            </w:r>
          </w:p>
        </w:tc>
        <w:tc>
          <w:tcPr>
            <w:tcW w:w="80" w:type="dxa"/>
            <w:vAlign w:val="bottom"/>
          </w:tcPr>
          <w:p>
            <w:pPr>
              <w:spacing w:after="0"/>
              <w:rPr>
                <w:sz w:val="20"/>
                <w:szCs w:val="20"/>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5,650</w:t>
            </w:r>
          </w:p>
        </w:tc>
        <w:tc>
          <w:tcPr>
            <w:tcW w:w="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625</w:t>
            </w:r>
          </w:p>
        </w:tc>
        <w:tc>
          <w:tcPr>
            <w:tcW w:w="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(187)</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6,395</w:t>
            </w:r>
          </w:p>
        </w:tc>
        <w:tc>
          <w:tcPr>
            <w:tcW w:w="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971</w:t>
            </w:r>
          </w:p>
        </w:tc>
        <w:tc>
          <w:tcPr>
            <w:tcW w:w="80" w:type="dxa"/>
            <w:vAlign w:val="bottom"/>
          </w:tcPr>
          <w:p>
            <w:pPr>
              <w:spacing w:after="0"/>
              <w:rPr>
                <w:sz w:val="20"/>
                <w:szCs w:val="20"/>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7,366</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Net income (loss)</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(243)</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(243)</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60</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(183)</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Other comprehensive income (loss)</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(176)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(176)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(176)</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Share-based compensation</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18</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Dividends on common stock</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(78)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(78)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(78)</w:t>
            </w:r>
          </w:p>
        </w:tc>
        <w:tc>
          <w:tcPr>
            <w:tcW w:w="0" w:type="dxa"/>
            <w:vAlign w:val="bottom"/>
          </w:tcPr>
          <w:p>
            <w:pPr>
              <w:spacing w:after="0"/>
              <w:rPr>
                <w:sz w:val="1"/>
                <w:szCs w:val="1"/>
                <w:color w:val="auto"/>
              </w:rPr>
            </w:pPr>
          </w:p>
        </w:tc>
      </w:tr>
      <w:tr>
        <w:trPr>
          <w:trHeight w:val="219"/>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Noncontrolling interests, net</w:t>
            </w:r>
          </w:p>
        </w:tc>
        <w:tc>
          <w:tcPr>
            <w:tcW w:w="12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(65)</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(65)</w:t>
            </w:r>
          </w:p>
        </w:tc>
        <w:tc>
          <w:tcPr>
            <w:tcW w:w="0" w:type="dxa"/>
            <w:vAlign w:val="bottom"/>
          </w:tcPr>
          <w:p>
            <w:pPr>
              <w:spacing w:after="0"/>
              <w:rPr>
                <w:sz w:val="1"/>
                <w:szCs w:val="1"/>
                <w:color w:val="auto"/>
              </w:rPr>
            </w:pPr>
          </w:p>
        </w:tc>
      </w:tr>
      <w:tr>
        <w:trPr>
          <w:trHeight w:val="213"/>
        </w:trPr>
        <w:tc>
          <w:tcPr>
            <w:tcW w:w="3820" w:type="dxa"/>
            <w:vAlign w:val="bottom"/>
            <w:gridSpan w:val="3"/>
          </w:tcPr>
          <w:p>
            <w:pPr>
              <w:ind w:left="120"/>
              <w:spacing w:after="0"/>
              <w:rPr>
                <w:sz w:val="20"/>
                <w:szCs w:val="20"/>
                <w:color w:val="auto"/>
              </w:rPr>
            </w:pPr>
            <w:r>
              <w:rPr>
                <w:rFonts w:ascii="Arial" w:cs="Arial" w:eastAsia="Arial" w:hAnsi="Arial"/>
                <w:sz w:val="16"/>
                <w:szCs w:val="16"/>
                <w:color w:val="auto"/>
              </w:rPr>
              <w:t>Balance at September 30, 2020</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307</w:t>
            </w:r>
          </w:p>
        </w:tc>
        <w:tc>
          <w:tcPr>
            <w:tcW w:w="80" w:type="dxa"/>
            <w:vAlign w:val="bottom"/>
          </w:tcPr>
          <w:p>
            <w:pPr>
              <w:spacing w:after="0"/>
              <w:rPr>
                <w:sz w:val="18"/>
                <w:szCs w:val="18"/>
                <w:color w:val="auto"/>
              </w:rPr>
            </w:pPr>
          </w:p>
        </w:tc>
        <w:tc>
          <w:tcPr>
            <w:tcW w:w="1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5,668</w:t>
            </w: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304</w:t>
            </w: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(363)</w:t>
            </w:r>
          </w:p>
        </w:tc>
        <w:tc>
          <w:tcPr>
            <w:tcW w:w="8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5,916</w:t>
            </w: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966</w:t>
            </w:r>
          </w:p>
        </w:tc>
        <w:tc>
          <w:tcPr>
            <w:tcW w:w="8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6,882</w:t>
            </w:r>
          </w:p>
        </w:tc>
        <w:tc>
          <w:tcPr>
            <w:tcW w:w="0" w:type="dxa"/>
            <w:vAlign w:val="bottom"/>
          </w:tcPr>
          <w:p>
            <w:pPr>
              <w:spacing w:after="0"/>
              <w:rPr>
                <w:sz w:val="1"/>
                <w:szCs w:val="1"/>
                <w:color w:val="auto"/>
              </w:rPr>
            </w:pPr>
          </w:p>
        </w:tc>
      </w:tr>
      <w:tr>
        <w:trPr>
          <w:trHeight w:val="21"/>
        </w:trPr>
        <w:tc>
          <w:tcPr>
            <w:tcW w:w="2960" w:type="dxa"/>
            <w:vAlign w:val="bottom"/>
            <w:vMerge w:val="restart"/>
          </w:tcPr>
          <w:p>
            <w:pPr>
              <w:spacing w:after="0" w:line="155" w:lineRule="exact"/>
              <w:rPr>
                <w:sz w:val="20"/>
                <w:szCs w:val="20"/>
                <w:color w:val="auto"/>
              </w:rPr>
            </w:pPr>
            <w:r>
              <w:rPr>
                <w:rFonts w:ascii="Arial" w:cs="Arial" w:eastAsia="Arial" w:hAnsi="Arial"/>
                <w:sz w:val="14"/>
                <w:szCs w:val="14"/>
                <w:b w:val="1"/>
                <w:bCs w:val="1"/>
                <w:color w:val="auto"/>
                <w:w w:val="92"/>
              </w:rPr>
              <w:t>For the Nine Months Ended September 30, 2021</w:t>
            </w:r>
          </w:p>
        </w:tc>
        <w:tc>
          <w:tcPr>
            <w:tcW w:w="860" w:type="dxa"/>
            <w:vAlign w:val="bottom"/>
            <w:gridSpan w:val="2"/>
            <w:vMerge w:val="restart"/>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0"/>
        </w:trPr>
        <w:tc>
          <w:tcPr>
            <w:tcW w:w="2960" w:type="dxa"/>
            <w:vAlign w:val="bottom"/>
            <w:tcBorders>
              <w:bottom w:val="single" w:sz="8" w:color="auto"/>
            </w:tcBorders>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1"/>
        </w:trPr>
        <w:tc>
          <w:tcPr>
            <w:tcW w:w="3820" w:type="dxa"/>
            <w:vAlign w:val="bottom"/>
            <w:gridSpan w:val="3"/>
          </w:tcPr>
          <w:p>
            <w:pPr>
              <w:ind w:left="120"/>
              <w:spacing w:after="0"/>
              <w:rPr>
                <w:sz w:val="20"/>
                <w:szCs w:val="20"/>
                <w:color w:val="auto"/>
              </w:rPr>
            </w:pPr>
            <w:r>
              <w:rPr>
                <w:rFonts w:ascii="Arial" w:cs="Arial" w:eastAsia="Arial" w:hAnsi="Arial"/>
                <w:sz w:val="16"/>
                <w:szCs w:val="16"/>
                <w:color w:val="auto"/>
              </w:rPr>
              <w:t>Balance at January 1, 2021</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307</w:t>
            </w:r>
          </w:p>
        </w:tc>
        <w:tc>
          <w:tcPr>
            <w:tcW w:w="80" w:type="dxa"/>
            <w:vAlign w:val="bottom"/>
          </w:tcPr>
          <w:p>
            <w:pPr>
              <w:spacing w:after="0"/>
              <w:rPr>
                <w:sz w:val="20"/>
                <w:szCs w:val="20"/>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5,684</w:t>
            </w:r>
          </w:p>
        </w:tc>
        <w:tc>
          <w:tcPr>
            <w:tcW w:w="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130</w:t>
            </w:r>
          </w:p>
        </w:tc>
        <w:tc>
          <w:tcPr>
            <w:tcW w:w="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(755)</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5,366</w:t>
            </w:r>
          </w:p>
        </w:tc>
        <w:tc>
          <w:tcPr>
            <w:tcW w:w="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969</w:t>
            </w:r>
          </w:p>
        </w:tc>
        <w:tc>
          <w:tcPr>
            <w:tcW w:w="80" w:type="dxa"/>
            <w:vAlign w:val="bottom"/>
          </w:tcPr>
          <w:p>
            <w:pPr>
              <w:spacing w:after="0"/>
              <w:rPr>
                <w:sz w:val="20"/>
                <w:szCs w:val="20"/>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6,335</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Net income (loss)</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294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294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240</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534</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Other comprehensive income (loss)</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(41)</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(41)</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(41)</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Share-based compensation</w:t>
            </w: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135</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138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138</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Dividends on common stock</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(232)</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(232)</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(232)</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Sale of Class A shares of Hess Midstream LP</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56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56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41</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97</w:t>
            </w:r>
          </w:p>
        </w:tc>
        <w:tc>
          <w:tcPr>
            <w:tcW w:w="0" w:type="dxa"/>
            <w:vAlign w:val="bottom"/>
          </w:tcPr>
          <w:p>
            <w:pPr>
              <w:spacing w:after="0"/>
              <w:rPr>
                <w:sz w:val="1"/>
                <w:szCs w:val="1"/>
                <w:color w:val="auto"/>
              </w:rPr>
            </w:pPr>
          </w:p>
        </w:tc>
      </w:tr>
      <w:tr>
        <w:trPr>
          <w:trHeight w:val="172"/>
        </w:trPr>
        <w:tc>
          <w:tcPr>
            <w:tcW w:w="3820" w:type="dxa"/>
            <w:vAlign w:val="bottom"/>
            <w:gridSpan w:val="3"/>
          </w:tcPr>
          <w:p>
            <w:pPr>
              <w:ind w:left="200"/>
              <w:spacing w:after="0" w:line="171" w:lineRule="exact"/>
              <w:rPr>
                <w:sz w:val="20"/>
                <w:szCs w:val="20"/>
                <w:color w:val="auto"/>
              </w:rPr>
            </w:pPr>
            <w:r>
              <w:rPr>
                <w:rFonts w:ascii="Arial" w:cs="Arial" w:eastAsia="Arial" w:hAnsi="Arial"/>
                <w:sz w:val="16"/>
                <w:szCs w:val="16"/>
                <w:color w:val="auto"/>
              </w:rPr>
              <w:t>Repurchase of Class B units of Hess Midstream</w:t>
            </w:r>
          </w:p>
        </w:tc>
        <w:tc>
          <w:tcPr>
            <w:tcW w:w="120" w:type="dxa"/>
            <w:vAlign w:val="bottom"/>
          </w:tcPr>
          <w:p>
            <w:pPr>
              <w:spacing w:after="0"/>
              <w:rPr>
                <w:sz w:val="14"/>
                <w:szCs w:val="14"/>
                <w:color w:val="auto"/>
              </w:rPr>
            </w:pPr>
          </w:p>
        </w:tc>
        <w:tc>
          <w:tcPr>
            <w:tcW w:w="800" w:type="dxa"/>
            <w:vAlign w:val="bottom"/>
            <w:gridSpan w:val="2"/>
            <w:vMerge w:val="restart"/>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4"/>
                <w:szCs w:val="14"/>
                <w:color w:val="auto"/>
              </w:rPr>
            </w:pPr>
          </w:p>
        </w:tc>
        <w:tc>
          <w:tcPr>
            <w:tcW w:w="720" w:type="dxa"/>
            <w:vAlign w:val="bottom"/>
            <w:vMerge w:val="restart"/>
          </w:tcPr>
          <w:p>
            <w:pPr>
              <w:jc w:val="right"/>
              <w:spacing w:after="0"/>
              <w:rPr>
                <w:sz w:val="20"/>
                <w:szCs w:val="20"/>
                <w:color w:val="auto"/>
              </w:rPr>
            </w:pPr>
            <w:r>
              <w:rPr>
                <w:rFonts w:ascii="Arial" w:cs="Arial" w:eastAsia="Arial" w:hAnsi="Arial"/>
                <w:sz w:val="16"/>
                <w:szCs w:val="16"/>
                <w:color w:val="auto"/>
              </w:rPr>
              <w:t>28</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gridSpan w:val="2"/>
            <w:vMerge w:val="restart"/>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4"/>
                <w:szCs w:val="14"/>
                <w:color w:val="auto"/>
              </w:rPr>
            </w:pPr>
          </w:p>
        </w:tc>
        <w:tc>
          <w:tcPr>
            <w:tcW w:w="1140" w:type="dxa"/>
            <w:vAlign w:val="bottom"/>
            <w:gridSpan w:val="2"/>
            <w:vMerge w:val="restart"/>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4"/>
                <w:szCs w:val="14"/>
                <w:color w:val="auto"/>
              </w:rPr>
            </w:pPr>
          </w:p>
        </w:tc>
        <w:tc>
          <w:tcPr>
            <w:tcW w:w="1020" w:type="dxa"/>
            <w:vAlign w:val="bottom"/>
            <w:vMerge w:val="restart"/>
          </w:tcPr>
          <w:p>
            <w:pPr>
              <w:jc w:val="right"/>
              <w:spacing w:after="0"/>
              <w:rPr>
                <w:sz w:val="20"/>
                <w:szCs w:val="20"/>
                <w:color w:val="auto"/>
              </w:rPr>
            </w:pPr>
            <w:r>
              <w:rPr>
                <w:rFonts w:ascii="Arial" w:cs="Arial" w:eastAsia="Arial" w:hAnsi="Arial"/>
                <w:sz w:val="16"/>
                <w:szCs w:val="16"/>
                <w:color w:val="auto"/>
              </w:rPr>
              <w:t>28</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Arial" w:cs="Arial" w:eastAsia="Arial" w:hAnsi="Arial"/>
                <w:sz w:val="16"/>
                <w:szCs w:val="16"/>
                <w:color w:val="auto"/>
              </w:rPr>
              <w:t>(390)</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(362)</w:t>
            </w:r>
          </w:p>
        </w:tc>
        <w:tc>
          <w:tcPr>
            <w:tcW w:w="0" w:type="dxa"/>
            <w:vAlign w:val="bottom"/>
          </w:tcPr>
          <w:p>
            <w:pPr>
              <w:spacing w:after="0"/>
              <w:rPr>
                <w:sz w:val="1"/>
                <w:szCs w:val="1"/>
                <w:color w:val="auto"/>
              </w:rPr>
            </w:pPr>
          </w:p>
        </w:tc>
      </w:tr>
      <w:tr>
        <w:trPr>
          <w:trHeight w:val="20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Operations LP</w:t>
            </w:r>
          </w:p>
        </w:tc>
        <w:tc>
          <w:tcPr>
            <w:tcW w:w="12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140" w:type="dxa"/>
            <w:vAlign w:val="bottom"/>
            <w:gridSpan w:val="2"/>
            <w:vMerge w:val="continue"/>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Noncontrolling interests, net</w:t>
            </w:r>
          </w:p>
        </w:tc>
        <w:tc>
          <w:tcPr>
            <w:tcW w:w="12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(213)</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(213)</w:t>
            </w:r>
          </w:p>
        </w:tc>
        <w:tc>
          <w:tcPr>
            <w:tcW w:w="0" w:type="dxa"/>
            <w:vAlign w:val="bottom"/>
          </w:tcPr>
          <w:p>
            <w:pPr>
              <w:spacing w:after="0"/>
              <w:rPr>
                <w:sz w:val="1"/>
                <w:szCs w:val="1"/>
                <w:color w:val="auto"/>
              </w:rPr>
            </w:pPr>
          </w:p>
        </w:tc>
      </w:tr>
      <w:tr>
        <w:trPr>
          <w:trHeight w:val="213"/>
        </w:trPr>
        <w:tc>
          <w:tcPr>
            <w:tcW w:w="3820" w:type="dxa"/>
            <w:vAlign w:val="bottom"/>
            <w:gridSpan w:val="3"/>
          </w:tcPr>
          <w:p>
            <w:pPr>
              <w:ind w:left="120"/>
              <w:spacing w:after="0"/>
              <w:rPr>
                <w:sz w:val="20"/>
                <w:szCs w:val="20"/>
                <w:color w:val="auto"/>
              </w:rPr>
            </w:pPr>
            <w:r>
              <w:rPr>
                <w:rFonts w:ascii="Arial" w:cs="Arial" w:eastAsia="Arial" w:hAnsi="Arial"/>
                <w:sz w:val="16"/>
                <w:szCs w:val="16"/>
                <w:color w:val="auto"/>
              </w:rPr>
              <w:t>Balance at September 30, 2021</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310</w:t>
            </w:r>
          </w:p>
        </w:tc>
        <w:tc>
          <w:tcPr>
            <w:tcW w:w="80" w:type="dxa"/>
            <w:vAlign w:val="bottom"/>
          </w:tcPr>
          <w:p>
            <w:pPr>
              <w:spacing w:after="0"/>
              <w:rPr>
                <w:sz w:val="18"/>
                <w:szCs w:val="18"/>
                <w:color w:val="auto"/>
              </w:rPr>
            </w:pPr>
          </w:p>
        </w:tc>
        <w:tc>
          <w:tcPr>
            <w:tcW w:w="1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5,903</w:t>
            </w: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192</w:t>
            </w: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(796)</w:t>
            </w:r>
          </w:p>
        </w:tc>
        <w:tc>
          <w:tcPr>
            <w:tcW w:w="8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5,609</w:t>
            </w: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647</w:t>
            </w:r>
          </w:p>
        </w:tc>
        <w:tc>
          <w:tcPr>
            <w:tcW w:w="8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6,256</w:t>
            </w:r>
          </w:p>
        </w:tc>
        <w:tc>
          <w:tcPr>
            <w:tcW w:w="0" w:type="dxa"/>
            <w:vAlign w:val="bottom"/>
          </w:tcPr>
          <w:p>
            <w:pPr>
              <w:spacing w:after="0"/>
              <w:rPr>
                <w:sz w:val="1"/>
                <w:szCs w:val="1"/>
                <w:color w:val="auto"/>
              </w:rPr>
            </w:pPr>
          </w:p>
        </w:tc>
      </w:tr>
      <w:tr>
        <w:trPr>
          <w:trHeight w:val="20"/>
        </w:trPr>
        <w:tc>
          <w:tcPr>
            <w:tcW w:w="2960" w:type="dxa"/>
            <w:vAlign w:val="bottom"/>
            <w:vMerge w:val="restart"/>
          </w:tcPr>
          <w:p>
            <w:pPr>
              <w:spacing w:after="0" w:line="155" w:lineRule="exact"/>
              <w:rPr>
                <w:sz w:val="20"/>
                <w:szCs w:val="20"/>
                <w:color w:val="auto"/>
              </w:rPr>
            </w:pPr>
            <w:r>
              <w:rPr>
                <w:rFonts w:ascii="Arial" w:cs="Arial" w:eastAsia="Arial" w:hAnsi="Arial"/>
                <w:sz w:val="14"/>
                <w:szCs w:val="14"/>
                <w:b w:val="1"/>
                <w:bCs w:val="1"/>
                <w:color w:val="auto"/>
                <w:w w:val="92"/>
              </w:rPr>
              <w:t>For the Nine Months Ended September 30, 2020</w:t>
            </w:r>
          </w:p>
        </w:tc>
        <w:tc>
          <w:tcPr>
            <w:tcW w:w="860" w:type="dxa"/>
            <w:vAlign w:val="bottom"/>
            <w:gridSpan w:val="2"/>
            <w:vMerge w:val="restart"/>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0"/>
        </w:trPr>
        <w:tc>
          <w:tcPr>
            <w:tcW w:w="2960" w:type="dxa"/>
            <w:vAlign w:val="bottom"/>
            <w:tcBorders>
              <w:bottom w:val="single" w:sz="8" w:color="auto"/>
            </w:tcBorders>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3820" w:type="dxa"/>
            <w:vAlign w:val="bottom"/>
            <w:gridSpan w:val="3"/>
          </w:tcPr>
          <w:p>
            <w:pPr>
              <w:ind w:left="120"/>
              <w:spacing w:after="0"/>
              <w:rPr>
                <w:sz w:val="20"/>
                <w:szCs w:val="20"/>
                <w:color w:val="auto"/>
              </w:rPr>
            </w:pPr>
            <w:r>
              <w:rPr>
                <w:rFonts w:ascii="Arial" w:cs="Arial" w:eastAsia="Arial" w:hAnsi="Arial"/>
                <w:sz w:val="16"/>
                <w:szCs w:val="16"/>
                <w:color w:val="auto"/>
              </w:rPr>
              <w:t>Balance at January 1, 2020</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305</w:t>
            </w:r>
          </w:p>
        </w:tc>
        <w:tc>
          <w:tcPr>
            <w:tcW w:w="80" w:type="dxa"/>
            <w:vAlign w:val="bottom"/>
          </w:tcPr>
          <w:p>
            <w:pPr>
              <w:spacing w:after="0"/>
              <w:rPr>
                <w:sz w:val="20"/>
                <w:szCs w:val="20"/>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5,591</w:t>
            </w:r>
          </w:p>
        </w:tc>
        <w:tc>
          <w:tcPr>
            <w:tcW w:w="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3,535</w:t>
            </w:r>
          </w:p>
        </w:tc>
        <w:tc>
          <w:tcPr>
            <w:tcW w:w="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(699)</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8,732</w:t>
            </w:r>
          </w:p>
        </w:tc>
        <w:tc>
          <w:tcPr>
            <w:tcW w:w="8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974</w:t>
            </w:r>
          </w:p>
        </w:tc>
        <w:tc>
          <w:tcPr>
            <w:tcW w:w="80" w:type="dxa"/>
            <w:vAlign w:val="bottom"/>
          </w:tcPr>
          <w:p>
            <w:pPr>
              <w:spacing w:after="0"/>
              <w:rPr>
                <w:sz w:val="20"/>
                <w:szCs w:val="20"/>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9,706</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Net income (loss)</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(2,996)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(2,996)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184</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(2,812)</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Other comprehensive income (loss)</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336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336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336</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Share-based compensation</w:t>
            </w: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77</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(5)</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74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74</w:t>
            </w:r>
          </w:p>
        </w:tc>
        <w:tc>
          <w:tcPr>
            <w:tcW w:w="0" w:type="dxa"/>
            <w:vAlign w:val="bottom"/>
          </w:tcPr>
          <w:p>
            <w:pPr>
              <w:spacing w:after="0"/>
              <w:rPr>
                <w:sz w:val="1"/>
                <w:szCs w:val="1"/>
                <w:color w:val="auto"/>
              </w:rPr>
            </w:pPr>
          </w:p>
        </w:tc>
      </w:tr>
      <w:tr>
        <w:trPr>
          <w:trHeight w:val="216"/>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Dividends on common stock</w:t>
            </w:r>
          </w:p>
        </w:tc>
        <w:tc>
          <w:tcPr>
            <w:tcW w:w="12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(230)</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(230)</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(230)</w:t>
            </w:r>
          </w:p>
        </w:tc>
        <w:tc>
          <w:tcPr>
            <w:tcW w:w="0" w:type="dxa"/>
            <w:vAlign w:val="bottom"/>
          </w:tcPr>
          <w:p>
            <w:pPr>
              <w:spacing w:after="0"/>
              <w:rPr>
                <w:sz w:val="1"/>
                <w:szCs w:val="1"/>
                <w:color w:val="auto"/>
              </w:rPr>
            </w:pPr>
          </w:p>
        </w:tc>
      </w:tr>
      <w:tr>
        <w:trPr>
          <w:trHeight w:val="219"/>
        </w:trPr>
        <w:tc>
          <w:tcPr>
            <w:tcW w:w="3820" w:type="dxa"/>
            <w:vAlign w:val="bottom"/>
            <w:gridSpan w:val="3"/>
          </w:tcPr>
          <w:p>
            <w:pPr>
              <w:ind w:left="200"/>
              <w:spacing w:after="0"/>
              <w:rPr>
                <w:sz w:val="20"/>
                <w:szCs w:val="20"/>
                <w:color w:val="auto"/>
              </w:rPr>
            </w:pPr>
            <w:r>
              <w:rPr>
                <w:rFonts w:ascii="Arial" w:cs="Arial" w:eastAsia="Arial" w:hAnsi="Arial"/>
                <w:sz w:val="16"/>
                <w:szCs w:val="16"/>
                <w:color w:val="auto"/>
              </w:rPr>
              <w:t>Noncontrolling interests, net</w:t>
            </w:r>
          </w:p>
        </w:tc>
        <w:tc>
          <w:tcPr>
            <w:tcW w:w="12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1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(192)</w:t>
            </w: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(192)</w:t>
            </w:r>
          </w:p>
        </w:tc>
        <w:tc>
          <w:tcPr>
            <w:tcW w:w="0" w:type="dxa"/>
            <w:vAlign w:val="bottom"/>
          </w:tcPr>
          <w:p>
            <w:pPr>
              <w:spacing w:after="0"/>
              <w:rPr>
                <w:sz w:val="1"/>
                <w:szCs w:val="1"/>
                <w:color w:val="auto"/>
              </w:rPr>
            </w:pPr>
          </w:p>
        </w:tc>
      </w:tr>
      <w:tr>
        <w:trPr>
          <w:trHeight w:val="213"/>
        </w:trPr>
        <w:tc>
          <w:tcPr>
            <w:tcW w:w="3820" w:type="dxa"/>
            <w:vAlign w:val="bottom"/>
            <w:gridSpan w:val="3"/>
          </w:tcPr>
          <w:p>
            <w:pPr>
              <w:ind w:left="120"/>
              <w:spacing w:after="0"/>
              <w:rPr>
                <w:sz w:val="20"/>
                <w:szCs w:val="20"/>
                <w:color w:val="auto"/>
              </w:rPr>
            </w:pPr>
            <w:r>
              <w:rPr>
                <w:rFonts w:ascii="Arial" w:cs="Arial" w:eastAsia="Arial" w:hAnsi="Arial"/>
                <w:sz w:val="16"/>
                <w:szCs w:val="16"/>
                <w:color w:val="auto"/>
              </w:rPr>
              <w:t>Balance at September 30, 2020</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307</w:t>
            </w:r>
          </w:p>
        </w:tc>
        <w:tc>
          <w:tcPr>
            <w:tcW w:w="80" w:type="dxa"/>
            <w:vAlign w:val="bottom"/>
          </w:tcPr>
          <w:p>
            <w:pPr>
              <w:spacing w:after="0"/>
              <w:rPr>
                <w:sz w:val="18"/>
                <w:szCs w:val="18"/>
                <w:color w:val="auto"/>
              </w:rPr>
            </w:pPr>
          </w:p>
        </w:tc>
        <w:tc>
          <w:tcPr>
            <w:tcW w:w="10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5,668</w:t>
            </w: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304</w:t>
            </w: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(363)</w:t>
            </w:r>
          </w:p>
        </w:tc>
        <w:tc>
          <w:tcPr>
            <w:tcW w:w="8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5,916</w:t>
            </w:r>
          </w:p>
        </w:tc>
        <w:tc>
          <w:tcPr>
            <w:tcW w:w="8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966</w:t>
            </w:r>
          </w:p>
        </w:tc>
        <w:tc>
          <w:tcPr>
            <w:tcW w:w="8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6,882</w:t>
            </w:r>
          </w:p>
        </w:tc>
        <w:tc>
          <w:tcPr>
            <w:tcW w:w="0" w:type="dxa"/>
            <w:vAlign w:val="bottom"/>
          </w:tcPr>
          <w:p>
            <w:pPr>
              <w:spacing w:after="0"/>
              <w:rPr>
                <w:sz w:val="1"/>
                <w:szCs w:val="1"/>
                <w:color w:val="auto"/>
              </w:rPr>
            </w:pPr>
          </w:p>
        </w:tc>
      </w:tr>
      <w:tr>
        <w:trPr>
          <w:trHeight w:val="20"/>
        </w:trPr>
        <w:tc>
          <w:tcPr>
            <w:tcW w:w="2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-45085</wp:posOffset>
            </wp:positionH>
            <wp:positionV relativeFrom="paragraph">
              <wp:posOffset>70485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60"/>
          </w:cols>
          <w:pgMar w:left="380" w:top="769" w:right="359" w:bottom="1440" w:gutter="0" w:footer="0" w:header="0"/>
        </w:sectPr>
      </w:pPr>
    </w:p>
    <w:bookmarkStart w:id="7" w:name="page8"/>
    <w:bookmarkEnd w:id="7"/>
    <w:p>
      <w:pPr>
        <w:ind w:left="360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117" w:lineRule="exact"/>
        <w:rPr>
          <w:sz w:val="20"/>
          <w:szCs w:val="20"/>
          <w:color w:val="auto"/>
        </w:rPr>
      </w:pPr>
    </w:p>
    <w:p>
      <w:pPr>
        <w:ind w:left="308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(UNAUDITED)</w:t>
      </w:r>
    </w:p>
    <w:p>
      <w:pPr>
        <w:spacing w:after="0" w:line="200" w:lineRule="exact"/>
        <w:rPr>
          <w:sz w:val="20"/>
          <w:szCs w:val="20"/>
          <w:color w:val="auto"/>
        </w:rPr>
      </w:pPr>
    </w:p>
    <w:p>
      <w:pPr>
        <w:spacing w:after="0" w:line="3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w:t>
      </w:r>
    </w:p>
    <w:p>
      <w:pPr>
        <w:spacing w:after="0" w:line="12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financial statements included in this report reflect all normal and recurring adjustments which, in the opinion of management, are necessary for a fair presentation of our consolidated financial position at September 30, 2021 and December 31, 2020, the consolidated results of operations for the three and nine months ended September 30, 2021 and 2020, and consolidated cash flows for the nine months ended September 30, 2021 and 2020. The unaudited results of operations for the interim periods reported are not necessarily indicative of results to be expected for the full year.</w:t>
      </w:r>
    </w:p>
    <w:p>
      <w:pPr>
        <w:spacing w:after="0" w:line="63"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financial statements were prepared in accordance with the requirements of the Securities and Exchange Commission (SEC) for interim reporting. As permitted under those rules, certain notes or other financial information that are normally required by generally accepted accounting principles (GAAP) in the United States have been condensed or omitted from these interim financial statements. These statements, therefore, should be read in conjunction with the consolidated financial statements and related notes included in the Corporation’s Annual Report on Form 10-K for the year ended December 31, 2020.</w:t>
      </w:r>
    </w:p>
    <w:p>
      <w:pPr>
        <w:sectPr>
          <w:pgSz w:w="11900" w:h="16838" w:orient="portrait"/>
          <w:cols w:equalWidth="0" w:num="1">
            <w:col w:w="11240"/>
          </w:cols>
          <w:pgMar w:left="320" w:top="229" w:right="339" w:bottom="1440" w:gutter="0" w:footer="0" w:header="0"/>
        </w:sectPr>
      </w:pPr>
    </w:p>
    <w:p>
      <w:pPr>
        <w:spacing w:after="0" w:line="15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2. Inventories</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Inventories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20"/>
        <w:spacing w:after="0"/>
        <w:rPr>
          <w:sz w:val="20"/>
          <w:szCs w:val="20"/>
          <w:color w:val="auto"/>
        </w:rPr>
      </w:pPr>
      <w:r>
        <w:rPr>
          <w:rFonts w:ascii="Arial" w:cs="Arial" w:eastAsia="Arial" w:hAnsi="Arial"/>
          <w:sz w:val="16"/>
          <w:szCs w:val="16"/>
          <w:color w:val="auto"/>
        </w:rPr>
        <w:t>Crude oil and natural gas liquids</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Materials and supplies</w:t>
      </w:r>
    </w:p>
    <w:p>
      <w:pPr>
        <w:spacing w:after="0" w:line="73" w:lineRule="exact"/>
        <w:rPr>
          <w:sz w:val="20"/>
          <w:szCs w:val="20"/>
          <w:color w:val="auto"/>
        </w:rPr>
      </w:pPr>
    </w:p>
    <w:p>
      <w:pPr>
        <w:ind w:left="220"/>
        <w:spacing w:after="0"/>
        <w:rPr>
          <w:sz w:val="20"/>
          <w:szCs w:val="20"/>
          <w:color w:val="auto"/>
        </w:rPr>
      </w:pPr>
      <w:r>
        <w:rPr>
          <w:rFonts w:ascii="Arial" w:cs="Arial" w:eastAsia="Arial" w:hAnsi="Arial"/>
          <w:sz w:val="16"/>
          <w:szCs w:val="16"/>
          <w:color w:val="auto"/>
        </w:rPr>
        <w:t>Total Inventories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120" w:type="dxa"/>
            <w:vAlign w:val="bottom"/>
          </w:tcPr>
          <w:p>
            <w:pPr>
              <w:spacing w:after="0"/>
              <w:rPr>
                <w:sz w:val="14"/>
                <w:szCs w:val="14"/>
                <w:color w:val="auto"/>
              </w:rPr>
            </w:pPr>
          </w:p>
        </w:tc>
        <w:tc>
          <w:tcPr>
            <w:tcW w:w="1180" w:type="dxa"/>
            <w:vAlign w:val="bottom"/>
            <w:gridSpan w:val="2"/>
          </w:tcPr>
          <w:p>
            <w:pPr>
              <w:ind w:left="40"/>
              <w:spacing w:after="0"/>
              <w:rPr>
                <w:sz w:val="20"/>
                <w:szCs w:val="20"/>
                <w:color w:val="auto"/>
              </w:rPr>
            </w:pPr>
            <w:r>
              <w:rPr>
                <w:rFonts w:ascii="Arial" w:cs="Arial" w:eastAsia="Arial" w:hAnsi="Arial"/>
                <w:sz w:val="14"/>
                <w:szCs w:val="14"/>
                <w:b w:val="1"/>
                <w:bCs w:val="1"/>
                <w:color w:val="auto"/>
              </w:rPr>
              <w:t>September 30,</w:t>
            </w:r>
          </w:p>
        </w:tc>
        <w:tc>
          <w:tcPr>
            <w:tcW w:w="120" w:type="dxa"/>
            <w:vAlign w:val="bottom"/>
          </w:tcPr>
          <w:p>
            <w:pPr>
              <w:spacing w:after="0"/>
              <w:rPr>
                <w:sz w:val="14"/>
                <w:szCs w:val="14"/>
                <w:color w:val="auto"/>
              </w:rPr>
            </w:pPr>
          </w:p>
        </w:tc>
        <w:tc>
          <w:tcPr>
            <w:tcW w:w="1060" w:type="dxa"/>
            <w:vAlign w:val="bottom"/>
          </w:tcPr>
          <w:p>
            <w:pPr>
              <w:jc w:val="right"/>
              <w:ind w:right="103"/>
              <w:spacing w:after="0"/>
              <w:rPr>
                <w:sz w:val="20"/>
                <w:szCs w:val="20"/>
                <w:color w:val="auto"/>
              </w:rPr>
            </w:pPr>
            <w:r>
              <w:rPr>
                <w:rFonts w:ascii="Arial" w:cs="Arial" w:eastAsia="Arial" w:hAnsi="Arial"/>
                <w:sz w:val="14"/>
                <w:szCs w:val="14"/>
                <w:b w:val="1"/>
                <w:bCs w:val="1"/>
                <w:color w:val="auto"/>
                <w:w w:val="94"/>
              </w:rPr>
              <w:t>December 31,</w:t>
            </w:r>
          </w:p>
        </w:tc>
      </w:tr>
      <w:tr>
        <w:trPr>
          <w:trHeight w:val="188"/>
        </w:trPr>
        <w:tc>
          <w:tcPr>
            <w:tcW w:w="1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64"/>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83"/>
              <w:spacing w:after="0"/>
              <w:rPr>
                <w:sz w:val="20"/>
                <w:szCs w:val="20"/>
                <w:color w:val="auto"/>
              </w:rPr>
            </w:pPr>
            <w:r>
              <w:rPr>
                <w:rFonts w:ascii="Arial" w:cs="Arial" w:eastAsia="Arial" w:hAnsi="Arial"/>
                <w:sz w:val="14"/>
                <w:szCs w:val="14"/>
                <w:b w:val="1"/>
                <w:bCs w:val="1"/>
                <w:color w:val="auto"/>
              </w:rPr>
              <w:t>2020</w:t>
            </w:r>
          </w:p>
        </w:tc>
      </w:tr>
      <w:tr>
        <w:trPr>
          <w:trHeight w:val="212"/>
        </w:trPr>
        <w:tc>
          <w:tcPr>
            <w:tcW w:w="120" w:type="dxa"/>
            <w:vAlign w:val="bottom"/>
          </w:tcPr>
          <w:p>
            <w:pPr>
              <w:spacing w:after="0"/>
              <w:rPr>
                <w:sz w:val="18"/>
                <w:szCs w:val="18"/>
                <w:color w:val="auto"/>
              </w:rPr>
            </w:pPr>
          </w:p>
        </w:tc>
        <w:tc>
          <w:tcPr>
            <w:tcW w:w="2360" w:type="dxa"/>
            <w:vAlign w:val="bottom"/>
            <w:gridSpan w:val="4"/>
          </w:tcPr>
          <w:p>
            <w:pPr>
              <w:jc w:val="right"/>
              <w:ind w:right="783"/>
              <w:spacing w:after="0"/>
              <w:rPr>
                <w:sz w:val="20"/>
                <w:szCs w:val="20"/>
                <w:color w:val="auto"/>
              </w:rPr>
            </w:pPr>
            <w:r>
              <w:rPr>
                <w:rFonts w:ascii="Arial" w:cs="Arial" w:eastAsia="Arial" w:hAnsi="Arial"/>
                <w:sz w:val="14"/>
                <w:szCs w:val="14"/>
                <w:b w:val="1"/>
                <w:bCs w:val="1"/>
                <w:color w:val="auto"/>
              </w:rPr>
              <w:t>(In millions)</w:t>
            </w:r>
          </w:p>
        </w:tc>
      </w:tr>
      <w:tr>
        <w:trPr>
          <w:trHeight w:val="222"/>
        </w:trPr>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76</w:t>
            </w:r>
          </w:p>
        </w:tc>
        <w:tc>
          <w:tcPr>
            <w:tcW w:w="12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226</w:t>
            </w:r>
          </w:p>
        </w:tc>
      </w:tr>
      <w:tr>
        <w:trPr>
          <w:trHeight w:val="219"/>
        </w:trPr>
        <w:tc>
          <w:tcPr>
            <w:tcW w:w="1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186</w:t>
            </w:r>
          </w:p>
        </w:tc>
        <w:tc>
          <w:tcPr>
            <w:tcW w:w="1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152</w:t>
            </w:r>
          </w:p>
        </w:tc>
      </w:tr>
      <w:tr>
        <w:trPr>
          <w:trHeight w:val="209"/>
        </w:trPr>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262</w:t>
            </w:r>
          </w:p>
        </w:tc>
        <w:tc>
          <w:tcPr>
            <w:tcW w:w="12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378</w:t>
            </w:r>
          </w:p>
        </w:tc>
      </w:tr>
      <w:tr>
        <w:trPr>
          <w:trHeight w:val="23"/>
        </w:trPr>
        <w:tc>
          <w:tcPr>
            <w:tcW w:w="1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sectPr>
          <w:pgSz w:w="11900" w:h="16838" w:orient="portrait"/>
          <w:cols w:equalWidth="0" w:num="2">
            <w:col w:w="8040" w:space="720"/>
            <w:col w:w="2480"/>
          </w:cols>
          <w:pgMar w:left="320" w:top="229" w:right="339" w:bottom="1440" w:gutter="0" w:footer="0" w:header="0"/>
          <w:type w:val="continuous"/>
        </w:sectPr>
      </w:pPr>
    </w:p>
    <w:p>
      <w:pPr>
        <w:jc w:val="both"/>
        <w:spacing w:after="0" w:line="308" w:lineRule="auto"/>
        <w:rPr>
          <w:sz w:val="20"/>
          <w:szCs w:val="20"/>
          <w:color w:val="auto"/>
        </w:rPr>
      </w:pPr>
      <w:r>
        <w:rPr>
          <w:rFonts w:ascii="Arial" w:cs="Arial" w:eastAsia="Arial" w:hAnsi="Arial"/>
          <w:sz w:val="17"/>
          <w:szCs w:val="17"/>
          <w:color w:val="auto"/>
        </w:rPr>
        <w:t>At December 31, 2020, crude oil inventories included $164 million associated with the cost of 4.2 million barrels of crude oil transported and stored on two chartered very large crude carriers (VLCCs) for sale in Asian markets. The two VLCC cargos were sold in the first quarter of 2021.</w:t>
      </w:r>
    </w:p>
    <w:p>
      <w:pPr>
        <w:spacing w:after="0" w:line="14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 xml:space="preserve">In the first quarter of 2020, we recognized charges of $53 million ($52 million after income taxes) in </w:t>
      </w:r>
      <w:r>
        <w:rPr>
          <w:rFonts w:ascii="Arial" w:cs="Arial" w:eastAsia="Arial" w:hAnsi="Arial"/>
          <w:sz w:val="18"/>
          <w:szCs w:val="18"/>
          <w:i w:val="1"/>
          <w:iCs w:val="1"/>
          <w:color w:val="auto"/>
        </w:rPr>
        <w:t>Marketing, including purchased oil and gas</w:t>
      </w:r>
      <w:r>
        <w:rPr>
          <w:rFonts w:ascii="Arial" w:cs="Arial" w:eastAsia="Arial" w:hAnsi="Arial"/>
          <w:sz w:val="18"/>
          <w:szCs w:val="18"/>
          <w:color w:val="auto"/>
        </w:rPr>
        <w:t xml:space="preserve"> to reflect crude oil inventories at net realizable value.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Property, Plant and Equipment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Dispositions:</w:t>
      </w:r>
    </w:p>
    <w:p>
      <w:pPr>
        <w:spacing w:after="0" w:line="11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August 2021, we completed the sale of our interests in Denmark for net cash consideration of approximately $130 million, after closing adjustments, and recognized a pre-tax gain of $29 million ($29 million after income taxes).</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April 2021, we completed the sale of our Little Knife and Murphy Creek nonstrategic acreage interests in the Bakken for net cash consideration of $297 million, after closing adjustments. The sale included approximately 78,700 net acres, which are located in the southernmost portion of the Corporation's Bakken position. The acreage constituted part of a larger amortization base and the sale was treated as a normal retirement. Accordingly, no gain or loss was recognized upon sale.</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Capitalized Exploratory Well Costs:</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discloses the net changes in capitalized exploratory well costs pending determination of proved reserves during the nine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2021 (in millions):</w:t>
      </w:r>
    </w:p>
    <w:p>
      <w:pPr>
        <w:spacing w:after="0" w:line="200" w:lineRule="exact"/>
        <w:rPr>
          <w:sz w:val="20"/>
          <w:szCs w:val="20"/>
          <w:color w:val="auto"/>
        </w:rPr>
      </w:pPr>
    </w:p>
    <w:p>
      <w:pPr>
        <w:spacing w:after="0" w:line="299" w:lineRule="exact"/>
        <w:rPr>
          <w:sz w:val="20"/>
          <w:szCs w:val="20"/>
          <w:color w:val="auto"/>
        </w:rPr>
      </w:pPr>
    </w:p>
    <w:tbl>
      <w:tblPr>
        <w:tblLayout w:type="fixed"/>
        <w:tblInd w:w="20" w:type="dxa"/>
        <w:tblCellMar>
          <w:top w:w="0" w:type="dxa"/>
          <w:left w:w="0" w:type="dxa"/>
          <w:bottom w:w="0" w:type="dxa"/>
          <w:right w:w="0" w:type="dxa"/>
        </w:tblCellMar>
      </w:tblPr>
      <w:tr>
        <w:trPr>
          <w:trHeight w:val="206"/>
        </w:trPr>
        <w:tc>
          <w:tcPr>
            <w:tcW w:w="9860" w:type="dxa"/>
            <w:vAlign w:val="bottom"/>
          </w:tcPr>
          <w:p>
            <w:pPr>
              <w:spacing w:after="0"/>
              <w:rPr>
                <w:sz w:val="20"/>
                <w:szCs w:val="20"/>
                <w:color w:val="auto"/>
              </w:rPr>
            </w:pPr>
            <w:r>
              <w:rPr>
                <w:rFonts w:ascii="Arial" w:cs="Arial" w:eastAsia="Arial" w:hAnsi="Arial"/>
                <w:sz w:val="16"/>
                <w:szCs w:val="16"/>
                <w:color w:val="auto"/>
              </w:rPr>
              <w:t>Balance at January 1, 2021</w:t>
            </w:r>
          </w:p>
        </w:tc>
        <w:tc>
          <w:tcPr>
            <w:tcW w:w="580" w:type="dxa"/>
            <w:vAlign w:val="bottom"/>
          </w:tcPr>
          <w:p>
            <w:pPr>
              <w:jc w:val="right"/>
              <w:ind w:right="39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459</w:t>
            </w:r>
          </w:p>
        </w:tc>
      </w:tr>
      <w:tr>
        <w:trPr>
          <w:trHeight w:val="219"/>
        </w:trPr>
        <w:tc>
          <w:tcPr>
            <w:tcW w:w="9860" w:type="dxa"/>
            <w:vAlign w:val="bottom"/>
          </w:tcPr>
          <w:p>
            <w:pPr>
              <w:ind w:left="120"/>
              <w:spacing w:after="0"/>
              <w:rPr>
                <w:sz w:val="20"/>
                <w:szCs w:val="20"/>
                <w:color w:val="auto"/>
              </w:rPr>
            </w:pPr>
            <w:r>
              <w:rPr>
                <w:rFonts w:ascii="Arial" w:cs="Arial" w:eastAsia="Arial" w:hAnsi="Arial"/>
                <w:sz w:val="16"/>
                <w:szCs w:val="16"/>
                <w:color w:val="auto"/>
              </w:rPr>
              <w:t>Additions to capitalized exploratory well costs pending the determination of proved reserves</w:t>
            </w:r>
          </w:p>
        </w:tc>
        <w:tc>
          <w:tcPr>
            <w:tcW w:w="5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162</w:t>
            </w:r>
          </w:p>
        </w:tc>
      </w:tr>
      <w:tr>
        <w:trPr>
          <w:trHeight w:val="213"/>
        </w:trPr>
        <w:tc>
          <w:tcPr>
            <w:tcW w:w="9860" w:type="dxa"/>
            <w:vAlign w:val="bottom"/>
          </w:tcPr>
          <w:p>
            <w:pPr>
              <w:spacing w:after="0"/>
              <w:rPr>
                <w:sz w:val="20"/>
                <w:szCs w:val="20"/>
                <w:color w:val="auto"/>
              </w:rPr>
            </w:pPr>
            <w:r>
              <w:rPr>
                <w:rFonts w:ascii="Arial" w:cs="Arial" w:eastAsia="Arial" w:hAnsi="Arial"/>
                <w:sz w:val="16"/>
                <w:szCs w:val="16"/>
                <w:color w:val="auto"/>
              </w:rPr>
              <w:t>Balance at September 30, 2021</w:t>
            </w:r>
          </w:p>
        </w:tc>
        <w:tc>
          <w:tcPr>
            <w:tcW w:w="580" w:type="dxa"/>
            <w:vAlign w:val="bottom"/>
            <w:tcBorders>
              <w:bottom w:val="single" w:sz="8" w:color="auto"/>
            </w:tcBorders>
          </w:tcPr>
          <w:p>
            <w:pPr>
              <w:jc w:val="right"/>
              <w:ind w:right="39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621</w:t>
            </w:r>
          </w:p>
        </w:tc>
      </w:tr>
      <w:tr>
        <w:trPr>
          <w:trHeight w:val="20"/>
        </w:trPr>
        <w:tc>
          <w:tcPr>
            <w:tcW w:w="986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18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Capitalized exploratory well costs capitalized for greater than one year following completion of drilling were $451 million at September 30, 2021 and primarily related to:</w:t>
      </w:r>
    </w:p>
    <w:p>
      <w:pPr>
        <w:spacing w:after="0" w:line="62" w:lineRule="exact"/>
        <w:rPr>
          <w:sz w:val="20"/>
          <w:szCs w:val="20"/>
          <w:color w:val="auto"/>
        </w:rPr>
      </w:pPr>
    </w:p>
    <w:p>
      <w:pPr>
        <w:jc w:val="both"/>
        <w:ind w:left="580" w:right="20" w:firstLine="81"/>
        <w:spacing w:after="0" w:line="286" w:lineRule="auto"/>
        <w:rPr>
          <w:sz w:val="20"/>
          <w:szCs w:val="20"/>
          <w:color w:val="auto"/>
        </w:rPr>
      </w:pPr>
      <w:r>
        <w:rPr>
          <w:rFonts w:ascii="Arial" w:cs="Arial" w:eastAsia="Arial" w:hAnsi="Arial"/>
          <w:sz w:val="17"/>
          <w:szCs w:val="17"/>
          <w:i w:val="1"/>
          <w:iCs w:val="1"/>
          <w:color w:val="auto"/>
        </w:rPr>
        <w:t xml:space="preserve">Guyana: </w:t>
      </w:r>
      <w:r>
        <w:rPr>
          <w:rFonts w:ascii="Arial" w:cs="Arial" w:eastAsia="Arial" w:hAnsi="Arial"/>
          <w:sz w:val="17"/>
          <w:szCs w:val="17"/>
          <w:color w:val="auto"/>
        </w:rPr>
        <w:t>Approximately 90% of the capitalized well costs in excess of one year relate to successful exploration wells where hydrocarbons were</w:t>
      </w:r>
      <w:r>
        <w:rPr>
          <w:rFonts w:ascii="Arial" w:cs="Arial" w:eastAsia="Arial" w:hAnsi="Arial"/>
          <w:sz w:val="17"/>
          <w:szCs w:val="17"/>
          <w:i w:val="1"/>
          <w:iCs w:val="1"/>
          <w:color w:val="auto"/>
        </w:rPr>
        <w:t xml:space="preserve"> </w:t>
      </w:r>
      <w:r>
        <w:rPr>
          <w:rFonts w:ascii="Arial" w:cs="Arial" w:eastAsia="Arial" w:hAnsi="Arial"/>
          <w:sz w:val="17"/>
          <w:szCs w:val="17"/>
          <w:color w:val="auto"/>
        </w:rPr>
        <w:t>encountered on the Stabroek Block (Hess 30%), offshore Guyana. The operator plans further appraisal drilling and is conducting pre-development planning for additional phases of development beyond the three previously sanctioned development projects on the Block.</w:t>
      </w:r>
    </w:p>
    <w:p>
      <w:pPr>
        <w:sectPr>
          <w:pgSz w:w="11900" w:h="16838" w:orient="portrait"/>
          <w:cols w:equalWidth="0" w:num="1">
            <w:col w:w="11240"/>
          </w:cols>
          <w:pgMar w:left="320" w:top="229" w:right="339" w:bottom="1440" w:gutter="0" w:footer="0" w:header="0"/>
          <w:type w:val="continuous"/>
        </w:sectPr>
      </w:pP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107315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8" w:name="page9"/>
    <w:bookmarkEnd w:id="8"/>
    <w:p>
      <w:pPr>
        <w:ind w:left="360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117" w:lineRule="exact"/>
        <w:rPr>
          <w:sz w:val="20"/>
          <w:szCs w:val="20"/>
          <w:color w:val="auto"/>
        </w:rPr>
      </w:pPr>
    </w:p>
    <w:p>
      <w:pPr>
        <w:ind w:left="308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both"/>
        <w:ind w:left="580" w:firstLine="81"/>
        <w:spacing w:after="0" w:line="259" w:lineRule="auto"/>
        <w:rPr>
          <w:sz w:val="20"/>
          <w:szCs w:val="20"/>
          <w:color w:val="auto"/>
        </w:rPr>
      </w:pPr>
      <w:r>
        <w:rPr>
          <w:rFonts w:ascii="Arial" w:cs="Arial" w:eastAsia="Arial" w:hAnsi="Arial"/>
          <w:sz w:val="18"/>
          <w:szCs w:val="18"/>
          <w:i w:val="1"/>
          <w:iCs w:val="1"/>
          <w:color w:val="auto"/>
        </w:rPr>
        <w:t xml:space="preserve">Joint Development Area (JDA): </w:t>
      </w:r>
      <w:r>
        <w:rPr>
          <w:rFonts w:ascii="Arial" w:cs="Arial" w:eastAsia="Arial" w:hAnsi="Arial"/>
          <w:sz w:val="18"/>
          <w:szCs w:val="18"/>
          <w:color w:val="auto"/>
        </w:rPr>
        <w:t>Approximately 5% of the capitalized well costs in excess of one year relates to the JDA (Hess 50%) in the Gulf</w:t>
      </w:r>
      <w:r>
        <w:rPr>
          <w:rFonts w:ascii="Arial" w:cs="Arial" w:eastAsia="Arial" w:hAnsi="Arial"/>
          <w:sz w:val="18"/>
          <w:szCs w:val="18"/>
          <w:i w:val="1"/>
          <w:iCs w:val="1"/>
          <w:color w:val="auto"/>
        </w:rPr>
        <w:t xml:space="preserve"> </w:t>
      </w:r>
      <w:r>
        <w:rPr>
          <w:rFonts w:ascii="Arial" w:cs="Arial" w:eastAsia="Arial" w:hAnsi="Arial"/>
          <w:sz w:val="18"/>
          <w:szCs w:val="18"/>
          <w:color w:val="auto"/>
        </w:rPr>
        <w:t>of Thailand, where hydrocarbons were encountered in three successful exploration wells drilled in the western part of Block A-18. The operator has submitted a development plan concept to the regulator to facilitate ongoing commercial negotiations for an extension of the existing gas sales contract to include development of the western part of the Block.</w:t>
      </w:r>
    </w:p>
    <w:p>
      <w:pPr>
        <w:spacing w:after="0" w:line="79" w:lineRule="exact"/>
        <w:rPr>
          <w:sz w:val="20"/>
          <w:szCs w:val="20"/>
          <w:color w:val="auto"/>
        </w:rPr>
      </w:pPr>
    </w:p>
    <w:p>
      <w:pPr>
        <w:jc w:val="both"/>
        <w:ind w:left="580" w:firstLine="81"/>
        <w:spacing w:after="0" w:line="263" w:lineRule="auto"/>
        <w:rPr>
          <w:sz w:val="20"/>
          <w:szCs w:val="20"/>
          <w:color w:val="auto"/>
        </w:rPr>
      </w:pPr>
      <w:r>
        <w:rPr>
          <w:rFonts w:ascii="Arial" w:cs="Arial" w:eastAsia="Arial" w:hAnsi="Arial"/>
          <w:sz w:val="18"/>
          <w:szCs w:val="18"/>
          <w:i w:val="1"/>
          <w:iCs w:val="1"/>
          <w:color w:val="auto"/>
        </w:rPr>
        <w:t xml:space="preserve">Malaysia: </w:t>
      </w:r>
      <w:r>
        <w:rPr>
          <w:rFonts w:ascii="Arial" w:cs="Arial" w:eastAsia="Arial" w:hAnsi="Arial"/>
          <w:sz w:val="18"/>
          <w:szCs w:val="18"/>
          <w:color w:val="auto"/>
        </w:rPr>
        <w:t>Approximately 5% of the capitalized well costs in excess of one year relate to the North Malay Basin (Hess 50%), offshore Peninsular</w:t>
      </w:r>
      <w:r>
        <w:rPr>
          <w:rFonts w:ascii="Arial" w:cs="Arial" w:eastAsia="Arial" w:hAnsi="Arial"/>
          <w:sz w:val="18"/>
          <w:szCs w:val="18"/>
          <w:i w:val="1"/>
          <w:iCs w:val="1"/>
          <w:color w:val="auto"/>
        </w:rPr>
        <w:t xml:space="preserve"> </w:t>
      </w:r>
      <w:r>
        <w:rPr>
          <w:rFonts w:ascii="Arial" w:cs="Arial" w:eastAsia="Arial" w:hAnsi="Arial"/>
          <w:sz w:val="18"/>
          <w:szCs w:val="18"/>
          <w:color w:val="auto"/>
        </w:rPr>
        <w:t>Malaysia, where hydrocarbons were encountered in one successful exploration well. Subsurface evaluation and pre-development studies are ongoing.</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Hess Midstream LP</w:t>
      </w:r>
    </w:p>
    <w:p>
      <w:pPr>
        <w:spacing w:after="0" w:line="12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In March 2021, the Corporation received net proceeds of $70 million from the public offering of 3.45 million Hess-owned Class A shares of Hess Midstream LP. The transaction resulted in an increase in </w:t>
      </w:r>
      <w:r>
        <w:rPr>
          <w:rFonts w:ascii="Arial" w:cs="Arial" w:eastAsia="Arial" w:hAnsi="Arial"/>
          <w:sz w:val="18"/>
          <w:szCs w:val="18"/>
          <w:i w:val="1"/>
          <w:iCs w:val="1"/>
          <w:color w:val="auto"/>
        </w:rPr>
        <w:t>Capital in Excess of Par</w:t>
      </w:r>
      <w:r>
        <w:rPr>
          <w:rFonts w:ascii="Arial" w:cs="Arial" w:eastAsia="Arial" w:hAnsi="Arial"/>
          <w:sz w:val="18"/>
          <w:szCs w:val="18"/>
          <w:color w:val="auto"/>
        </w:rPr>
        <w:t xml:space="preserve"> of $56 million and </w:t>
      </w:r>
      <w:r>
        <w:rPr>
          <w:rFonts w:ascii="Arial" w:cs="Arial" w:eastAsia="Arial" w:hAnsi="Arial"/>
          <w:sz w:val="18"/>
          <w:szCs w:val="18"/>
          <w:i w:val="1"/>
          <w:iCs w:val="1"/>
          <w:color w:val="auto"/>
        </w:rPr>
        <w:t>Noncontrolling Interests</w:t>
      </w:r>
      <w:r>
        <w:rPr>
          <w:rFonts w:ascii="Arial" w:cs="Arial" w:eastAsia="Arial" w:hAnsi="Arial"/>
          <w:sz w:val="18"/>
          <w:szCs w:val="18"/>
          <w:color w:val="auto"/>
        </w:rPr>
        <w:t xml:space="preserve"> of $41 million including $14 million from the change in ownership and $27 million from the recognition of a deferred tax asset due to an increase in tax basis of Hess Midstream LP's investment in Hess Midstream Operations LP (HESM Opco).</w:t>
      </w:r>
    </w:p>
    <w:p>
      <w:pPr>
        <w:spacing w:after="0" w:line="7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 xml:space="preserve">In August 2021, HESM Opco, a consolidated subsidiary of Hess Midstream LP, repurchased 31.25 million HESM Opco Class B units held by a subsidiary of Hess Corporation and an affiliate of General Infrastructure Partners (GIP) for $750 million. HESM Opco issued $750 million in aggregate principal amount of 4.250% fixed-rate senior unsecured notes due 2030 in a private offering to finance the repurchase. The transaction resulted in an increase in </w:t>
      </w:r>
      <w:r>
        <w:rPr>
          <w:rFonts w:ascii="Arial" w:cs="Arial" w:eastAsia="Arial" w:hAnsi="Arial"/>
          <w:sz w:val="18"/>
          <w:szCs w:val="18"/>
          <w:i w:val="1"/>
          <w:iCs w:val="1"/>
          <w:color w:val="auto"/>
        </w:rPr>
        <w:t xml:space="preserve">Capital in Excess of Par </w:t>
      </w:r>
      <w:r>
        <w:rPr>
          <w:rFonts w:ascii="Arial" w:cs="Arial" w:eastAsia="Arial" w:hAnsi="Arial"/>
          <w:sz w:val="18"/>
          <w:szCs w:val="18"/>
          <w:color w:val="auto"/>
        </w:rPr>
        <w:t>and a decrease in</w:t>
      </w:r>
      <w:r>
        <w:rPr>
          <w:rFonts w:ascii="Arial" w:cs="Arial" w:eastAsia="Arial" w:hAnsi="Arial"/>
          <w:sz w:val="18"/>
          <w:szCs w:val="18"/>
          <w:i w:val="1"/>
          <w:iCs w:val="1"/>
          <w:color w:val="auto"/>
        </w:rPr>
        <w:t xml:space="preserve"> Noncontrolling Interests </w:t>
      </w:r>
      <w:r>
        <w:rPr>
          <w:rFonts w:ascii="Arial" w:cs="Arial" w:eastAsia="Arial" w:hAnsi="Arial"/>
          <w:sz w:val="18"/>
          <w:szCs w:val="18"/>
          <w:color w:val="auto"/>
        </w:rPr>
        <w:t>of $28 million, and an increase in deferred tax assets and</w:t>
      </w:r>
      <w:r>
        <w:rPr>
          <w:rFonts w:ascii="Arial" w:cs="Arial" w:eastAsia="Arial" w:hAnsi="Arial"/>
          <w:sz w:val="18"/>
          <w:szCs w:val="18"/>
          <w:i w:val="1"/>
          <w:iCs w:val="1"/>
          <w:color w:val="auto"/>
        </w:rPr>
        <w:t xml:space="preserve"> Noncontrolling Interests </w:t>
      </w:r>
      <w:r>
        <w:rPr>
          <w:rFonts w:ascii="Arial" w:cs="Arial" w:eastAsia="Arial" w:hAnsi="Arial"/>
          <w:sz w:val="18"/>
          <w:szCs w:val="18"/>
          <w:color w:val="auto"/>
        </w:rPr>
        <w:t>of</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$15 million due to a decrease in the book basis of Hess Midstream LP's investment in HESM Opco. The $375 million paid to GIP reduced </w:t>
      </w:r>
      <w:r>
        <w:rPr>
          <w:rFonts w:ascii="Arial" w:cs="Arial" w:eastAsia="Arial" w:hAnsi="Arial"/>
          <w:sz w:val="18"/>
          <w:szCs w:val="18"/>
          <w:i w:val="1"/>
          <w:iCs w:val="1"/>
          <w:color w:val="auto"/>
        </w:rPr>
        <w:t>Noncontrolling</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Interests. </w:t>
      </w:r>
      <w:r>
        <w:rPr>
          <w:rFonts w:ascii="Arial" w:cs="Arial" w:eastAsia="Arial" w:hAnsi="Arial"/>
          <w:sz w:val="18"/>
          <w:szCs w:val="18"/>
          <w:color w:val="auto"/>
        </w:rPr>
        <w:t>The Corporation owned an approximate 45% interest in Hess Midstream LP, on a consolidated basis, at September 30, 2021. See</w:t>
      </w:r>
      <w:r>
        <w:rPr>
          <w:rFonts w:ascii="Arial" w:cs="Arial" w:eastAsia="Arial" w:hAnsi="Arial"/>
          <w:sz w:val="18"/>
          <w:szCs w:val="18"/>
          <w:i w:val="1"/>
          <w:iCs w:val="1"/>
          <w:color w:val="auto"/>
        </w:rPr>
        <w:t xml:space="preserve"> Note 14</w:t>
      </w:r>
      <w:r>
        <w:rPr>
          <w:rFonts w:ascii="Arial" w:cs="Arial" w:eastAsia="Arial" w:hAnsi="Arial"/>
          <w:sz w:val="18"/>
          <w:szCs w:val="18"/>
          <w:color w:val="auto"/>
        </w:rPr>
        <w:t>,</w:t>
      </w:r>
      <w:r>
        <w:rPr>
          <w:rFonts w:ascii="Arial" w:cs="Arial" w:eastAsia="Arial" w:hAnsi="Arial"/>
          <w:sz w:val="18"/>
          <w:szCs w:val="18"/>
          <w:i w:val="1"/>
          <w:iCs w:val="1"/>
          <w:color w:val="auto"/>
        </w:rPr>
        <w:t xml:space="preserve"> Subsequent Events</w:t>
      </w:r>
      <w:r>
        <w:rPr>
          <w:rFonts w:ascii="Arial" w:cs="Arial" w:eastAsia="Arial" w:hAnsi="Arial"/>
          <w:sz w:val="18"/>
          <w:szCs w:val="18"/>
          <w:color w:val="auto"/>
        </w:rPr>
        <w:t>.</w:t>
      </w:r>
    </w:p>
    <w:p>
      <w:pPr>
        <w:spacing w:after="0" w:line="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At September 30, 2021 Hess Midstream LP, a variable interest entity that is fully consolidated by Hess Corporation, had liabilities totaling $2,753 million (December 31, 2020: $2,026 million) that are on a nonrecourse basis to Hess Corporation, while Hess Midstream LP assets available to settle the obligations of Hess Midstream LP include cash and cash equivalents totaling $3 million (December 31, 2020: $3 million), property, plant and equipment with a carrying value of $3,118 million (December 31, 2020: $3,111 million) and an equity-method investment in the Little Missouri 4 gas processing plant of $102 million (December 31, 2020: $108 million).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Accrued Liabilities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Accrued Liabilities consisted of the following:</w:t>
      </w:r>
    </w:p>
    <w:p>
      <w:pPr>
        <w:spacing w:after="0" w:line="132"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83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20" w:type="dxa"/>
            <w:vAlign w:val="bottom"/>
            <w:gridSpan w:val="2"/>
          </w:tcPr>
          <w:p>
            <w:pPr>
              <w:ind w:left="80"/>
              <w:spacing w:after="0"/>
              <w:rPr>
                <w:sz w:val="20"/>
                <w:szCs w:val="20"/>
                <w:color w:val="auto"/>
              </w:rPr>
            </w:pPr>
            <w:r>
              <w:rPr>
                <w:rFonts w:ascii="Arial" w:cs="Arial" w:eastAsia="Arial" w:hAnsi="Arial"/>
                <w:sz w:val="14"/>
                <w:szCs w:val="14"/>
                <w:b w:val="1"/>
                <w:bCs w:val="1"/>
                <w:color w:val="auto"/>
              </w:rPr>
              <w:t>September 30,</w:t>
            </w:r>
          </w:p>
        </w:tc>
        <w:tc>
          <w:tcPr>
            <w:tcW w:w="180" w:type="dxa"/>
            <w:vAlign w:val="bottom"/>
          </w:tcPr>
          <w:p>
            <w:pPr>
              <w:spacing w:after="0"/>
              <w:rPr>
                <w:sz w:val="14"/>
                <w:szCs w:val="14"/>
                <w:color w:val="auto"/>
              </w:rPr>
            </w:pPr>
          </w:p>
        </w:tc>
        <w:tc>
          <w:tcPr>
            <w:tcW w:w="1180" w:type="dxa"/>
            <w:vAlign w:val="bottom"/>
          </w:tcPr>
          <w:p>
            <w:pPr>
              <w:jc w:val="right"/>
              <w:ind w:right="181"/>
              <w:spacing w:after="0"/>
              <w:rPr>
                <w:sz w:val="20"/>
                <w:szCs w:val="20"/>
                <w:color w:val="auto"/>
              </w:rPr>
            </w:pPr>
            <w:r>
              <w:rPr>
                <w:rFonts w:ascii="Arial" w:cs="Arial" w:eastAsia="Arial" w:hAnsi="Arial"/>
                <w:sz w:val="14"/>
                <w:szCs w:val="14"/>
                <w:b w:val="1"/>
                <w:bCs w:val="1"/>
                <w:color w:val="auto"/>
                <w:w w:val="98"/>
              </w:rPr>
              <w:t>December 31,</w:t>
            </w:r>
          </w:p>
        </w:tc>
      </w:tr>
      <w:tr>
        <w:trPr>
          <w:trHeight w:val="188"/>
        </w:trPr>
        <w:tc>
          <w:tcPr>
            <w:tcW w:w="838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461"/>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61"/>
              <w:spacing w:after="0"/>
              <w:rPr>
                <w:sz w:val="20"/>
                <w:szCs w:val="20"/>
                <w:color w:val="auto"/>
              </w:rPr>
            </w:pPr>
            <w:r>
              <w:rPr>
                <w:rFonts w:ascii="Arial" w:cs="Arial" w:eastAsia="Arial" w:hAnsi="Arial"/>
                <w:sz w:val="14"/>
                <w:szCs w:val="14"/>
                <w:b w:val="1"/>
                <w:bCs w:val="1"/>
                <w:color w:val="auto"/>
              </w:rPr>
              <w:t>2020</w:t>
            </w:r>
          </w:p>
        </w:tc>
      </w:tr>
      <w:tr>
        <w:trPr>
          <w:trHeight w:val="212"/>
        </w:trPr>
        <w:tc>
          <w:tcPr>
            <w:tcW w:w="8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80" w:type="dxa"/>
            <w:vAlign w:val="bottom"/>
            <w:gridSpan w:val="4"/>
          </w:tcPr>
          <w:p>
            <w:pPr>
              <w:jc w:val="right"/>
              <w:ind w:right="961"/>
              <w:spacing w:after="0"/>
              <w:rPr>
                <w:sz w:val="20"/>
                <w:szCs w:val="20"/>
                <w:color w:val="auto"/>
              </w:rPr>
            </w:pPr>
            <w:r>
              <w:rPr>
                <w:rFonts w:ascii="Arial" w:cs="Arial" w:eastAsia="Arial" w:hAnsi="Arial"/>
                <w:sz w:val="14"/>
                <w:szCs w:val="14"/>
                <w:b w:val="1"/>
                <w:bCs w:val="1"/>
                <w:color w:val="auto"/>
              </w:rPr>
              <w:t>(In millions)</w:t>
            </w:r>
          </w:p>
        </w:tc>
      </w:tr>
      <w:tr>
        <w:trPr>
          <w:trHeight w:val="222"/>
        </w:trPr>
        <w:tc>
          <w:tcPr>
            <w:tcW w:w="8380" w:type="dxa"/>
            <w:vAlign w:val="bottom"/>
          </w:tcPr>
          <w:p>
            <w:pPr>
              <w:ind w:left="220"/>
              <w:spacing w:after="0"/>
              <w:rPr>
                <w:sz w:val="20"/>
                <w:szCs w:val="20"/>
                <w:color w:val="auto"/>
              </w:rPr>
            </w:pPr>
            <w:r>
              <w:rPr>
                <w:rFonts w:ascii="Arial" w:cs="Arial" w:eastAsia="Arial" w:hAnsi="Arial"/>
                <w:sz w:val="16"/>
                <w:szCs w:val="16"/>
                <w:color w:val="auto"/>
              </w:rPr>
              <w:t>Accrued operating and marketing expenditures</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511</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325</w:t>
            </w:r>
          </w:p>
        </w:tc>
      </w:tr>
      <w:tr>
        <w:trPr>
          <w:trHeight w:val="216"/>
        </w:trPr>
        <w:tc>
          <w:tcPr>
            <w:tcW w:w="8380" w:type="dxa"/>
            <w:vAlign w:val="bottom"/>
          </w:tcPr>
          <w:p>
            <w:pPr>
              <w:ind w:left="220"/>
              <w:spacing w:after="0"/>
              <w:rPr>
                <w:sz w:val="20"/>
                <w:szCs w:val="20"/>
                <w:color w:val="auto"/>
              </w:rPr>
            </w:pPr>
            <w:r>
              <w:rPr>
                <w:rFonts w:ascii="Arial" w:cs="Arial" w:eastAsia="Arial" w:hAnsi="Arial"/>
                <w:sz w:val="16"/>
                <w:szCs w:val="16"/>
                <w:color w:val="auto"/>
              </w:rPr>
              <w:t>Accrued capital expenditures</w:t>
            </w: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381</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345</w:t>
            </w:r>
          </w:p>
        </w:tc>
      </w:tr>
      <w:tr>
        <w:trPr>
          <w:trHeight w:val="216"/>
        </w:trPr>
        <w:tc>
          <w:tcPr>
            <w:tcW w:w="8380" w:type="dxa"/>
            <w:vAlign w:val="bottom"/>
          </w:tcPr>
          <w:p>
            <w:pPr>
              <w:ind w:left="220"/>
              <w:spacing w:after="0"/>
              <w:rPr>
                <w:sz w:val="20"/>
                <w:szCs w:val="20"/>
                <w:color w:val="auto"/>
              </w:rPr>
            </w:pPr>
            <w:r>
              <w:rPr>
                <w:rFonts w:ascii="Arial" w:cs="Arial" w:eastAsia="Arial" w:hAnsi="Arial"/>
                <w:sz w:val="16"/>
                <w:szCs w:val="16"/>
                <w:color w:val="auto"/>
              </w:rPr>
              <w:t>Accrued payments to royalty and working interest owners</w:t>
            </w: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232</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170</w:t>
            </w:r>
          </w:p>
        </w:tc>
      </w:tr>
      <w:tr>
        <w:trPr>
          <w:trHeight w:val="216"/>
        </w:trPr>
        <w:tc>
          <w:tcPr>
            <w:tcW w:w="8380" w:type="dxa"/>
            <w:vAlign w:val="bottom"/>
          </w:tcPr>
          <w:p>
            <w:pPr>
              <w:ind w:left="220"/>
              <w:spacing w:after="0"/>
              <w:rPr>
                <w:sz w:val="20"/>
                <w:szCs w:val="20"/>
                <w:color w:val="auto"/>
              </w:rPr>
            </w:pPr>
            <w:r>
              <w:rPr>
                <w:rFonts w:ascii="Arial" w:cs="Arial" w:eastAsia="Arial" w:hAnsi="Arial"/>
                <w:sz w:val="16"/>
                <w:szCs w:val="16"/>
                <w:color w:val="auto"/>
              </w:rPr>
              <w:t>Current portion of asset retirement obligations</w:t>
            </w: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193</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105</w:t>
            </w:r>
          </w:p>
        </w:tc>
      </w:tr>
      <w:tr>
        <w:trPr>
          <w:trHeight w:val="216"/>
        </w:trPr>
        <w:tc>
          <w:tcPr>
            <w:tcW w:w="8380" w:type="dxa"/>
            <w:vAlign w:val="bottom"/>
          </w:tcPr>
          <w:p>
            <w:pPr>
              <w:ind w:left="220"/>
              <w:spacing w:after="0"/>
              <w:rPr>
                <w:sz w:val="20"/>
                <w:szCs w:val="20"/>
                <w:color w:val="auto"/>
              </w:rPr>
            </w:pPr>
            <w:r>
              <w:rPr>
                <w:rFonts w:ascii="Arial" w:cs="Arial" w:eastAsia="Arial" w:hAnsi="Arial"/>
                <w:sz w:val="16"/>
                <w:szCs w:val="16"/>
                <w:color w:val="auto"/>
              </w:rPr>
              <w:t>Accrued interest on debt</w:t>
            </w: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101</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126</w:t>
            </w:r>
          </w:p>
        </w:tc>
      </w:tr>
      <w:tr>
        <w:trPr>
          <w:trHeight w:val="216"/>
        </w:trPr>
        <w:tc>
          <w:tcPr>
            <w:tcW w:w="8380" w:type="dxa"/>
            <w:vAlign w:val="bottom"/>
          </w:tcPr>
          <w:p>
            <w:pPr>
              <w:ind w:left="220"/>
              <w:spacing w:after="0"/>
              <w:rPr>
                <w:sz w:val="20"/>
                <w:szCs w:val="20"/>
                <w:color w:val="auto"/>
              </w:rPr>
            </w:pPr>
            <w:r>
              <w:rPr>
                <w:rFonts w:ascii="Arial" w:cs="Arial" w:eastAsia="Arial" w:hAnsi="Arial"/>
                <w:sz w:val="16"/>
                <w:szCs w:val="16"/>
                <w:color w:val="auto"/>
              </w:rPr>
              <w:t>Accrued compensation and benefits</w:t>
            </w: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97</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117</w:t>
            </w:r>
          </w:p>
        </w:tc>
      </w:tr>
      <w:tr>
        <w:trPr>
          <w:trHeight w:val="219"/>
        </w:trPr>
        <w:tc>
          <w:tcPr>
            <w:tcW w:w="8380" w:type="dxa"/>
            <w:vAlign w:val="bottom"/>
          </w:tcPr>
          <w:p>
            <w:pPr>
              <w:ind w:left="220"/>
              <w:spacing w:after="0"/>
              <w:rPr>
                <w:sz w:val="20"/>
                <w:szCs w:val="20"/>
                <w:color w:val="auto"/>
              </w:rPr>
            </w:pPr>
            <w:r>
              <w:rPr>
                <w:rFonts w:ascii="Arial" w:cs="Arial" w:eastAsia="Arial" w:hAnsi="Arial"/>
                <w:sz w:val="16"/>
                <w:szCs w:val="16"/>
                <w:color w:val="auto"/>
              </w:rPr>
              <w:t>Other accruals</w:t>
            </w:r>
          </w:p>
        </w:tc>
        <w:tc>
          <w:tcPr>
            <w:tcW w:w="1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63</w:t>
            </w:r>
          </w:p>
        </w:tc>
        <w:tc>
          <w:tcPr>
            <w:tcW w:w="1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63</w:t>
            </w:r>
          </w:p>
        </w:tc>
      </w:tr>
      <w:tr>
        <w:trPr>
          <w:trHeight w:val="213"/>
        </w:trPr>
        <w:tc>
          <w:tcPr>
            <w:tcW w:w="8380" w:type="dxa"/>
            <w:vAlign w:val="bottom"/>
          </w:tcPr>
          <w:p>
            <w:pPr>
              <w:spacing w:after="0"/>
              <w:rPr>
                <w:sz w:val="20"/>
                <w:szCs w:val="20"/>
                <w:color w:val="auto"/>
              </w:rPr>
            </w:pPr>
            <w:r>
              <w:rPr>
                <w:rFonts w:ascii="Arial" w:cs="Arial" w:eastAsia="Arial" w:hAnsi="Arial"/>
                <w:sz w:val="16"/>
                <w:szCs w:val="16"/>
                <w:b w:val="1"/>
                <w:bCs w:val="1"/>
                <w:color w:val="auto"/>
              </w:rPr>
              <w:t>Total Accrued Liabilities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1,578</w:t>
            </w:r>
          </w:p>
        </w:tc>
        <w:tc>
          <w:tcPr>
            <w:tcW w:w="12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1,251</w:t>
            </w:r>
          </w:p>
        </w:tc>
      </w:tr>
      <w:tr>
        <w:trPr>
          <w:trHeight w:val="20"/>
        </w:trPr>
        <w:tc>
          <w:tcPr>
            <w:tcW w:w="83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Debt</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In July 2021, we repaid $500 million principal amount of Hess Corporation's $1 billion term loan, which matures in March 2023. The remaining $500 million has been classified as </w:t>
      </w:r>
      <w:r>
        <w:rPr>
          <w:rFonts w:ascii="Arial" w:cs="Arial" w:eastAsia="Arial" w:hAnsi="Arial"/>
          <w:sz w:val="18"/>
          <w:szCs w:val="18"/>
          <w:i w:val="1"/>
          <w:iCs w:val="1"/>
          <w:color w:val="auto"/>
        </w:rPr>
        <w:t>Current portion of long-term debt</w:t>
      </w:r>
      <w:r>
        <w:rPr>
          <w:rFonts w:ascii="Arial" w:cs="Arial" w:eastAsia="Arial" w:hAnsi="Arial"/>
          <w:sz w:val="18"/>
          <w:szCs w:val="18"/>
          <w:color w:val="auto"/>
        </w:rPr>
        <w:t xml:space="preserve"> in our </w:t>
      </w:r>
      <w:r>
        <w:rPr>
          <w:rFonts w:ascii="Arial" w:cs="Arial" w:eastAsia="Arial" w:hAnsi="Arial"/>
          <w:sz w:val="18"/>
          <w:szCs w:val="18"/>
          <w:i w:val="1"/>
          <w:iCs w:val="1"/>
          <w:color w:val="auto"/>
        </w:rPr>
        <w:t>Consolidated Balance Sheet</w:t>
      </w:r>
      <w:r>
        <w:rPr>
          <w:rFonts w:ascii="Arial" w:cs="Arial" w:eastAsia="Arial" w:hAnsi="Arial"/>
          <w:sz w:val="18"/>
          <w:szCs w:val="18"/>
          <w:color w:val="auto"/>
        </w:rPr>
        <w:t xml:space="preserve"> at September 30, 2021 due to management's intent to repay the remaining $500 million within the next twelve months.</w:t>
      </w:r>
    </w:p>
    <w:p>
      <w:pPr>
        <w:spacing w:after="0" w:line="76"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In August 2021, HESM Opco issued $750 million in aggregate principal amount of 4.250% fixed-rate senior unsecured notes due 2030 in a private offering to finance the repurchase of 31.25 million HESM Opco Class B units held by a subsidiary of Hess Corporation and an affiliate of GIP.</w:t>
      </w: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9" w:name="page10"/>
    <w:bookmarkEnd w:id="9"/>
    <w:p>
      <w:pPr>
        <w:ind w:left="360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117" w:lineRule="exact"/>
        <w:rPr>
          <w:sz w:val="20"/>
          <w:szCs w:val="20"/>
          <w:color w:val="auto"/>
        </w:rPr>
      </w:pPr>
    </w:p>
    <w:p>
      <w:pPr>
        <w:ind w:left="308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Revenue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Revenue from contracts with customers on a disaggregated basis was as follows:</w:t>
      </w:r>
    </w:p>
    <w:p>
      <w:pPr>
        <w:spacing w:after="0" w:line="190"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24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340" w:type="dxa"/>
            <w:vAlign w:val="bottom"/>
            <w:tcBorders>
              <w:bottom w:val="single" w:sz="8" w:color="auto"/>
            </w:tcBorders>
            <w:gridSpan w:val="7"/>
          </w:tcPr>
          <w:p>
            <w:pPr>
              <w:jc w:val="right"/>
              <w:ind w:right="279"/>
              <w:spacing w:after="0"/>
              <w:rPr>
                <w:sz w:val="20"/>
                <w:szCs w:val="20"/>
                <w:color w:val="auto"/>
              </w:rPr>
            </w:pPr>
            <w:r>
              <w:rPr>
                <w:rFonts w:ascii="Arial" w:cs="Arial" w:eastAsia="Arial" w:hAnsi="Arial"/>
                <w:sz w:val="14"/>
                <w:szCs w:val="14"/>
                <w:b w:val="1"/>
                <w:bCs w:val="1"/>
                <w:color w:val="auto"/>
              </w:rPr>
              <w:t>Exploration and Production</w:t>
            </w: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99"/>
              <w:spacing w:after="0"/>
              <w:rPr>
                <w:sz w:val="20"/>
                <w:szCs w:val="20"/>
                <w:color w:val="auto"/>
              </w:rPr>
            </w:pPr>
            <w:r>
              <w:rPr>
                <w:rFonts w:ascii="Arial" w:cs="Arial" w:eastAsia="Arial" w:hAnsi="Arial"/>
                <w:sz w:val="14"/>
                <w:szCs w:val="14"/>
                <w:b w:val="1"/>
                <w:bCs w:val="1"/>
                <w:color w:val="auto"/>
                <w:w w:val="99"/>
              </w:rPr>
              <w:t>Midstream</w:t>
            </w:r>
          </w:p>
        </w:tc>
        <w:tc>
          <w:tcPr>
            <w:tcW w:w="1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Eliminations</w:t>
            </w: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ind w:right="159"/>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34"/>
        </w:trPr>
        <w:tc>
          <w:tcPr>
            <w:tcW w:w="2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gridSpan w:val="2"/>
          </w:tcPr>
          <w:p>
            <w:pPr>
              <w:ind w:left="40"/>
              <w:spacing w:after="0" w:line="135" w:lineRule="exact"/>
              <w:rPr>
                <w:sz w:val="20"/>
                <w:szCs w:val="20"/>
                <w:color w:val="auto"/>
              </w:rPr>
            </w:pPr>
            <w:r>
              <w:rPr>
                <w:rFonts w:ascii="Arial" w:cs="Arial" w:eastAsia="Arial" w:hAnsi="Arial"/>
                <w:sz w:val="14"/>
                <w:szCs w:val="14"/>
                <w:b w:val="1"/>
                <w:bCs w:val="1"/>
                <w:color w:val="auto"/>
              </w:rPr>
              <w:t>United</w:t>
            </w:r>
          </w:p>
        </w:tc>
        <w:tc>
          <w:tcPr>
            <w:tcW w:w="120" w:type="dxa"/>
            <w:vAlign w:val="bottom"/>
          </w:tcPr>
          <w:p>
            <w:pPr>
              <w:spacing w:after="0"/>
              <w:rPr>
                <w:sz w:val="11"/>
                <w:szCs w:val="11"/>
                <w:color w:val="auto"/>
              </w:rPr>
            </w:pPr>
          </w:p>
        </w:tc>
        <w:tc>
          <w:tcPr>
            <w:tcW w:w="660" w:type="dxa"/>
            <w:vAlign w:val="bottom"/>
            <w:vMerge w:val="restart"/>
          </w:tcPr>
          <w:p>
            <w:pPr>
              <w:jc w:val="right"/>
              <w:ind w:right="80"/>
              <w:spacing w:after="0"/>
              <w:rPr>
                <w:sz w:val="20"/>
                <w:szCs w:val="20"/>
                <w:color w:val="auto"/>
              </w:rPr>
            </w:pPr>
            <w:r>
              <w:rPr>
                <w:rFonts w:ascii="Arial" w:cs="Arial" w:eastAsia="Arial" w:hAnsi="Arial"/>
                <w:sz w:val="14"/>
                <w:szCs w:val="14"/>
                <w:b w:val="1"/>
                <w:bCs w:val="1"/>
                <w:color w:val="auto"/>
                <w:w w:val="93"/>
              </w:rPr>
              <w:t>Guyana</w:t>
            </w:r>
          </w:p>
        </w:tc>
        <w:tc>
          <w:tcPr>
            <w:tcW w:w="80" w:type="dxa"/>
            <w:vAlign w:val="bottom"/>
            <w:vMerge w:val="restart"/>
          </w:tcPr>
          <w:p>
            <w:pPr>
              <w:spacing w:after="0"/>
              <w:rPr>
                <w:sz w:val="11"/>
                <w:szCs w:val="11"/>
                <w:color w:val="auto"/>
              </w:rPr>
            </w:pPr>
          </w:p>
        </w:tc>
        <w:tc>
          <w:tcPr>
            <w:tcW w:w="860" w:type="dxa"/>
            <w:vAlign w:val="bottom"/>
            <w:gridSpan w:val="3"/>
          </w:tcPr>
          <w:p>
            <w:pPr>
              <w:ind w:left="20"/>
              <w:spacing w:after="0" w:line="135" w:lineRule="exact"/>
              <w:rPr>
                <w:sz w:val="20"/>
                <w:szCs w:val="20"/>
                <w:color w:val="auto"/>
              </w:rPr>
            </w:pPr>
            <w:r>
              <w:rPr>
                <w:rFonts w:ascii="Arial" w:cs="Arial" w:eastAsia="Arial" w:hAnsi="Arial"/>
                <w:sz w:val="14"/>
                <w:szCs w:val="14"/>
                <w:b w:val="1"/>
                <w:bCs w:val="1"/>
                <w:color w:val="auto"/>
              </w:rPr>
              <w:t>Malaysia &amp;</w:t>
            </w:r>
          </w:p>
        </w:tc>
        <w:tc>
          <w:tcPr>
            <w:tcW w:w="100" w:type="dxa"/>
            <w:vAlign w:val="bottom"/>
          </w:tcPr>
          <w:p>
            <w:pPr>
              <w:spacing w:after="0"/>
              <w:rPr>
                <w:sz w:val="11"/>
                <w:szCs w:val="11"/>
                <w:color w:val="auto"/>
              </w:rPr>
            </w:pPr>
          </w:p>
        </w:tc>
        <w:tc>
          <w:tcPr>
            <w:tcW w:w="64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2"/>
              </w:rPr>
              <w:t>Other (a)</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E&amp;P Total</w:t>
            </w:r>
          </w:p>
        </w:tc>
        <w:tc>
          <w:tcPr>
            <w:tcW w:w="100" w:type="dxa"/>
            <w:vAlign w:val="bottom"/>
            <w:vMerge w:val="restart"/>
          </w:tcPr>
          <w:p>
            <w:pPr>
              <w:spacing w:after="0"/>
              <w:rPr>
                <w:sz w:val="11"/>
                <w:szCs w:val="11"/>
                <w:color w:val="auto"/>
              </w:rPr>
            </w:pPr>
          </w:p>
        </w:tc>
        <w:tc>
          <w:tcPr>
            <w:tcW w:w="1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4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right"/>
              <w:ind w:right="140"/>
              <w:spacing w:after="0"/>
              <w:rPr>
                <w:sz w:val="20"/>
                <w:szCs w:val="20"/>
                <w:color w:val="auto"/>
              </w:rPr>
            </w:pPr>
            <w:r>
              <w:rPr>
                <w:rFonts w:ascii="Arial" w:cs="Arial" w:eastAsia="Arial" w:hAnsi="Arial"/>
                <w:sz w:val="14"/>
                <w:szCs w:val="14"/>
                <w:b w:val="1"/>
                <w:bCs w:val="1"/>
                <w:color w:val="auto"/>
                <w:w w:val="95"/>
              </w:rPr>
              <w:t>States</w:t>
            </w:r>
          </w:p>
        </w:tc>
        <w:tc>
          <w:tcPr>
            <w:tcW w:w="8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vMerge w:val="continue"/>
          </w:tcPr>
          <w:p>
            <w:pPr>
              <w:spacing w:after="0"/>
              <w:rPr>
                <w:sz w:val="16"/>
                <w:szCs w:val="16"/>
                <w:color w:val="auto"/>
              </w:rPr>
            </w:pPr>
          </w:p>
        </w:tc>
        <w:tc>
          <w:tcPr>
            <w:tcW w:w="80" w:type="dxa"/>
            <w:vAlign w:val="bottom"/>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jc w:val="right"/>
              <w:ind w:right="179"/>
              <w:spacing w:after="0"/>
              <w:rPr>
                <w:sz w:val="20"/>
                <w:szCs w:val="20"/>
                <w:color w:val="auto"/>
              </w:rPr>
            </w:pPr>
            <w:r>
              <w:rPr>
                <w:rFonts w:ascii="Arial" w:cs="Arial" w:eastAsia="Arial" w:hAnsi="Arial"/>
                <w:sz w:val="14"/>
                <w:szCs w:val="14"/>
                <w:b w:val="1"/>
                <w:bCs w:val="1"/>
                <w:color w:val="auto"/>
              </w:rPr>
              <w:t>JDA</w:t>
            </w:r>
          </w:p>
        </w:tc>
        <w:tc>
          <w:tcPr>
            <w:tcW w:w="8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vMerge w:val="continue"/>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0" w:type="dxa"/>
            <w:vAlign w:val="bottom"/>
            <w:tcBorders>
              <w:bottom w:val="single" w:sz="8" w:color="auto"/>
            </w:tcBorders>
            <w:gridSpan w:val="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6"/>
        </w:trPr>
        <w:tc>
          <w:tcPr>
            <w:tcW w:w="24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000" w:type="dxa"/>
            <w:vAlign w:val="bottom"/>
            <w:gridSpan w:val="5"/>
          </w:tcPr>
          <w:p>
            <w:pPr>
              <w:spacing w:after="0"/>
              <w:rPr>
                <w:sz w:val="20"/>
                <w:szCs w:val="20"/>
                <w:color w:val="auto"/>
              </w:rPr>
            </w:pPr>
            <w:r>
              <w:rPr>
                <w:rFonts w:ascii="Arial" w:cs="Arial" w:eastAsia="Arial" w:hAnsi="Arial"/>
                <w:sz w:val="14"/>
                <w:szCs w:val="14"/>
                <w:b w:val="1"/>
                <w:bCs w:val="1"/>
                <w:color w:val="auto"/>
              </w:rPr>
              <w:t>(In millions)</w:t>
            </w:r>
          </w:p>
        </w:tc>
        <w:tc>
          <w:tcPr>
            <w:tcW w:w="1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60"/>
        </w:trPr>
        <w:tc>
          <w:tcPr>
            <w:tcW w:w="256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92"/>
              </w:rPr>
              <w:t>Three Months Ended September 30, 2021</w:t>
            </w:r>
          </w:p>
        </w:tc>
        <w:tc>
          <w:tcPr>
            <w:tcW w:w="1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8"/>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Sales of our net production volumes:</w:t>
            </w:r>
          </w:p>
        </w:tc>
        <w:tc>
          <w:tcPr>
            <w:tcW w:w="1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3740" w:type="dxa"/>
            <w:vAlign w:val="bottom"/>
            <w:gridSpan w:val="3"/>
          </w:tcPr>
          <w:p>
            <w:pPr>
              <w:ind w:left="200"/>
              <w:spacing w:after="0"/>
              <w:rPr>
                <w:sz w:val="20"/>
                <w:szCs w:val="20"/>
                <w:color w:val="auto"/>
              </w:rPr>
            </w:pPr>
            <w:r>
              <w:rPr>
                <w:rFonts w:ascii="Arial" w:cs="Arial" w:eastAsia="Arial" w:hAnsi="Arial"/>
                <w:sz w:val="16"/>
                <w:szCs w:val="16"/>
                <w:color w:val="auto"/>
              </w:rPr>
              <w:t>Crude oil revenue</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654</w:t>
            </w:r>
          </w:p>
        </w:tc>
        <w:tc>
          <w:tcPr>
            <w:tcW w:w="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214</w:t>
            </w:r>
          </w:p>
        </w:tc>
        <w:tc>
          <w:tcPr>
            <w:tcW w:w="80" w:type="dxa"/>
            <w:vAlign w:val="bottom"/>
          </w:tcPr>
          <w:p>
            <w:pPr>
              <w:spacing w:after="0"/>
              <w:rPr>
                <w:sz w:val="18"/>
                <w:szCs w:val="18"/>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rPr>
              <w:t>$</w:t>
            </w:r>
          </w:p>
        </w:tc>
        <w:tc>
          <w:tcPr>
            <w:tcW w:w="600" w:type="dxa"/>
            <w:vAlign w:val="bottom"/>
          </w:tcPr>
          <w:p>
            <w:pPr>
              <w:jc w:val="right"/>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104</w:t>
            </w:r>
          </w:p>
        </w:tc>
        <w:tc>
          <w:tcPr>
            <w:tcW w:w="340" w:type="dxa"/>
            <w:vAlign w:val="bottom"/>
            <w:gridSpan w:val="3"/>
          </w:tcPr>
          <w:p>
            <w:pPr>
              <w:jc w:val="right"/>
              <w:ind w:right="68"/>
              <w:spacing w:after="0"/>
              <w:rPr>
                <w:sz w:val="20"/>
                <w:szCs w:val="20"/>
                <w:color w:val="auto"/>
              </w:rPr>
            </w:pPr>
            <w:r>
              <w:rPr>
                <w:rFonts w:ascii="Arial" w:cs="Arial" w:eastAsia="Arial" w:hAnsi="Arial"/>
                <w:sz w:val="16"/>
                <w:szCs w:val="16"/>
                <w:color w:val="auto"/>
              </w:rPr>
              <w:t>$</w:t>
            </w:r>
          </w:p>
        </w:tc>
        <w:tc>
          <w:tcPr>
            <w:tcW w:w="560" w:type="dxa"/>
            <w:vAlign w:val="bottom"/>
          </w:tcPr>
          <w:p>
            <w:pPr>
              <w:jc w:val="right"/>
              <w:spacing w:after="0"/>
              <w:rPr>
                <w:sz w:val="20"/>
                <w:szCs w:val="20"/>
                <w:color w:val="auto"/>
              </w:rPr>
            </w:pPr>
            <w:r>
              <w:rPr>
                <w:rFonts w:ascii="Arial" w:cs="Arial" w:eastAsia="Arial" w:hAnsi="Arial"/>
                <w:sz w:val="16"/>
                <w:szCs w:val="16"/>
                <w:color w:val="auto"/>
              </w:rPr>
              <w:t>974</w:t>
            </w: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974</w:t>
            </w:r>
          </w:p>
        </w:tc>
        <w:tc>
          <w:tcPr>
            <w:tcW w:w="0" w:type="dxa"/>
            <w:vAlign w:val="bottom"/>
          </w:tcPr>
          <w:p>
            <w:pPr>
              <w:spacing w:after="0"/>
              <w:rPr>
                <w:sz w:val="1"/>
                <w:szCs w:val="1"/>
                <w:color w:val="auto"/>
              </w:rPr>
            </w:pPr>
          </w:p>
        </w:tc>
      </w:tr>
      <w:tr>
        <w:trPr>
          <w:trHeight w:val="216"/>
        </w:trPr>
        <w:tc>
          <w:tcPr>
            <w:tcW w:w="3740" w:type="dxa"/>
            <w:vAlign w:val="bottom"/>
            <w:gridSpan w:val="3"/>
          </w:tcPr>
          <w:p>
            <w:pPr>
              <w:ind w:left="200"/>
              <w:spacing w:after="0"/>
              <w:rPr>
                <w:sz w:val="20"/>
                <w:szCs w:val="20"/>
                <w:color w:val="auto"/>
              </w:rPr>
            </w:pPr>
            <w:r>
              <w:rPr>
                <w:rFonts w:ascii="Arial" w:cs="Arial" w:eastAsia="Arial" w:hAnsi="Arial"/>
                <w:sz w:val="16"/>
                <w:szCs w:val="16"/>
                <w:color w:val="auto"/>
              </w:rPr>
              <w:t>Natural gas liquids revenue</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143</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143</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143</w:t>
            </w:r>
          </w:p>
        </w:tc>
        <w:tc>
          <w:tcPr>
            <w:tcW w:w="0" w:type="dxa"/>
            <w:vAlign w:val="bottom"/>
          </w:tcPr>
          <w:p>
            <w:pPr>
              <w:spacing w:after="0"/>
              <w:rPr>
                <w:sz w:val="1"/>
                <w:szCs w:val="1"/>
                <w:color w:val="auto"/>
              </w:rPr>
            </w:pPr>
          </w:p>
        </w:tc>
      </w:tr>
      <w:tr>
        <w:trPr>
          <w:trHeight w:val="216"/>
        </w:trPr>
        <w:tc>
          <w:tcPr>
            <w:tcW w:w="3740" w:type="dxa"/>
            <w:vAlign w:val="bottom"/>
            <w:gridSpan w:val="3"/>
          </w:tcPr>
          <w:p>
            <w:pPr>
              <w:ind w:left="200"/>
              <w:spacing w:after="0"/>
              <w:rPr>
                <w:sz w:val="20"/>
                <w:szCs w:val="20"/>
                <w:color w:val="auto"/>
              </w:rPr>
            </w:pPr>
            <w:r>
              <w:rPr>
                <w:rFonts w:ascii="Arial" w:cs="Arial" w:eastAsia="Arial" w:hAnsi="Arial"/>
                <w:sz w:val="16"/>
                <w:szCs w:val="16"/>
                <w:color w:val="auto"/>
              </w:rPr>
              <w:t>Natural gas revenue</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77</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143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222</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222</w:t>
            </w:r>
          </w:p>
        </w:tc>
        <w:tc>
          <w:tcPr>
            <w:tcW w:w="0" w:type="dxa"/>
            <w:vAlign w:val="bottom"/>
          </w:tcPr>
          <w:p>
            <w:pPr>
              <w:spacing w:after="0"/>
              <w:rPr>
                <w:sz w:val="1"/>
                <w:szCs w:val="1"/>
                <w:color w:val="auto"/>
              </w:rPr>
            </w:pPr>
          </w:p>
        </w:tc>
      </w:tr>
      <w:tr>
        <w:trPr>
          <w:trHeight w:val="216"/>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Sales of purchased oil and gas</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457</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4</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23</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484</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484</w:t>
            </w:r>
          </w:p>
        </w:tc>
        <w:tc>
          <w:tcPr>
            <w:tcW w:w="0" w:type="dxa"/>
            <w:vAlign w:val="bottom"/>
          </w:tcPr>
          <w:p>
            <w:pPr>
              <w:spacing w:after="0"/>
              <w:rPr>
                <w:sz w:val="1"/>
                <w:szCs w:val="1"/>
                <w:color w:val="auto"/>
              </w:rPr>
            </w:pPr>
          </w:p>
        </w:tc>
      </w:tr>
      <w:tr>
        <w:trPr>
          <w:trHeight w:val="216"/>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Intercompany revenue</w:t>
            </w:r>
          </w:p>
        </w:tc>
        <w:tc>
          <w:tcPr>
            <w:tcW w:w="1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304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ind w:left="560"/>
              <w:spacing w:after="0"/>
              <w:rPr>
                <w:sz w:val="20"/>
                <w:szCs w:val="20"/>
                <w:color w:val="auto"/>
              </w:rPr>
            </w:pPr>
            <w:r>
              <w:rPr>
                <w:rFonts w:ascii="Arial" w:cs="Arial" w:eastAsia="Arial" w:hAnsi="Arial"/>
                <w:sz w:val="16"/>
                <w:szCs w:val="16"/>
                <w:color w:val="auto"/>
                <w:w w:val="96"/>
              </w:rPr>
              <w:t>(304)</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9"/>
        </w:trPr>
        <w:tc>
          <w:tcPr>
            <w:tcW w:w="3740" w:type="dxa"/>
            <w:vAlign w:val="bottom"/>
            <w:gridSpan w:val="3"/>
          </w:tcPr>
          <w:p>
            <w:pPr>
              <w:spacing w:after="0"/>
              <w:rPr>
                <w:sz w:val="20"/>
                <w:szCs w:val="20"/>
                <w:color w:val="auto"/>
              </w:rPr>
            </w:pPr>
            <w:r>
              <w:rPr>
                <w:rFonts w:ascii="Arial" w:cs="Arial" w:eastAsia="Arial" w:hAnsi="Arial"/>
                <w:sz w:val="16"/>
                <w:szCs w:val="16"/>
                <w:color w:val="auto"/>
              </w:rPr>
              <w:t>Total revenues from contracts with customers</w:t>
            </w: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1,331</w:t>
            </w: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218</w:t>
            </w:r>
          </w:p>
        </w:tc>
        <w:tc>
          <w:tcPr>
            <w:tcW w:w="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145</w:t>
            </w: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129</w:t>
            </w:r>
          </w:p>
        </w:tc>
        <w:tc>
          <w:tcPr>
            <w:tcW w:w="2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1,823</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304</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ind w:left="560"/>
              <w:spacing w:after="0"/>
              <w:rPr>
                <w:sz w:val="20"/>
                <w:szCs w:val="20"/>
                <w:color w:val="auto"/>
              </w:rPr>
            </w:pPr>
            <w:r>
              <w:rPr>
                <w:rFonts w:ascii="Arial" w:cs="Arial" w:eastAsia="Arial" w:hAnsi="Arial"/>
                <w:sz w:val="16"/>
                <w:szCs w:val="16"/>
                <w:color w:val="auto"/>
                <w:w w:val="96"/>
              </w:rPr>
              <w:t>(304)</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1,823</w:t>
            </w:r>
          </w:p>
        </w:tc>
        <w:tc>
          <w:tcPr>
            <w:tcW w:w="0" w:type="dxa"/>
            <w:vAlign w:val="bottom"/>
          </w:tcPr>
          <w:p>
            <w:pPr>
              <w:spacing w:after="0"/>
              <w:rPr>
                <w:sz w:val="1"/>
                <w:szCs w:val="1"/>
                <w:color w:val="auto"/>
              </w:rPr>
            </w:pPr>
          </w:p>
        </w:tc>
      </w:tr>
      <w:tr>
        <w:trPr>
          <w:trHeight w:val="219"/>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Other operating revenues (b)</w:t>
            </w:r>
          </w:p>
        </w:tc>
        <w:tc>
          <w:tcPr>
            <w:tcW w:w="1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w:t>
            </w:r>
          </w:p>
        </w:tc>
        <w:tc>
          <w:tcPr>
            <w:tcW w:w="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w:t>
            </w:r>
          </w:p>
        </w:tc>
        <w:tc>
          <w:tcPr>
            <w:tcW w:w="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ind w:left="7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w:t>
            </w:r>
          </w:p>
        </w:tc>
        <w:tc>
          <w:tcPr>
            <w:tcW w:w="0" w:type="dxa"/>
            <w:vAlign w:val="bottom"/>
          </w:tcPr>
          <w:p>
            <w:pPr>
              <w:spacing w:after="0"/>
              <w:rPr>
                <w:sz w:val="1"/>
                <w:szCs w:val="1"/>
                <w:color w:val="auto"/>
              </w:rPr>
            </w:pPr>
          </w:p>
        </w:tc>
      </w:tr>
      <w:tr>
        <w:trPr>
          <w:trHeight w:val="213"/>
        </w:trPr>
        <w:tc>
          <w:tcPr>
            <w:tcW w:w="3740" w:type="dxa"/>
            <w:vAlign w:val="bottom"/>
            <w:gridSpan w:val="3"/>
          </w:tcPr>
          <w:p>
            <w:pPr>
              <w:spacing w:after="0"/>
              <w:rPr>
                <w:sz w:val="20"/>
                <w:szCs w:val="20"/>
                <w:color w:val="auto"/>
              </w:rPr>
            </w:pPr>
            <w:r>
              <w:rPr>
                <w:rFonts w:ascii="Arial" w:cs="Arial" w:eastAsia="Arial" w:hAnsi="Arial"/>
                <w:sz w:val="16"/>
                <w:szCs w:val="16"/>
                <w:color w:val="auto"/>
              </w:rPr>
              <w:t>Total sales and other operating revenues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1,280</w:t>
            </w:r>
          </w:p>
        </w:tc>
        <w:tc>
          <w:tcPr>
            <w:tcW w:w="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209</w:t>
            </w:r>
          </w:p>
        </w:tc>
        <w:tc>
          <w:tcPr>
            <w:tcW w:w="80" w:type="dxa"/>
            <w:vAlign w:val="bottom"/>
          </w:tcPr>
          <w:p>
            <w:pPr>
              <w:spacing w:after="0"/>
              <w:rPr>
                <w:sz w:val="18"/>
                <w:szCs w:val="18"/>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rPr>
              <w:t>$</w:t>
            </w:r>
          </w:p>
        </w:tc>
        <w:tc>
          <w:tcPr>
            <w:tcW w:w="600" w:type="dxa"/>
            <w:vAlign w:val="bottom"/>
          </w:tcPr>
          <w:p>
            <w:pPr>
              <w:jc w:val="right"/>
              <w:spacing w:after="0"/>
              <w:rPr>
                <w:sz w:val="20"/>
                <w:szCs w:val="20"/>
                <w:color w:val="auto"/>
              </w:rPr>
            </w:pPr>
            <w:r>
              <w:rPr>
                <w:rFonts w:ascii="Arial" w:cs="Arial" w:eastAsia="Arial" w:hAnsi="Arial"/>
                <w:sz w:val="16"/>
                <w:szCs w:val="16"/>
                <w:color w:val="auto"/>
              </w:rPr>
              <w:t>145</w:t>
            </w:r>
          </w:p>
        </w:tc>
        <w:tc>
          <w:tcPr>
            <w:tcW w:w="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125</w:t>
            </w:r>
          </w:p>
        </w:tc>
        <w:tc>
          <w:tcPr>
            <w:tcW w:w="340" w:type="dxa"/>
            <w:vAlign w:val="bottom"/>
            <w:gridSpan w:val="3"/>
          </w:tcPr>
          <w:p>
            <w:pPr>
              <w:jc w:val="right"/>
              <w:ind w:right="68"/>
              <w:spacing w:after="0"/>
              <w:rPr>
                <w:sz w:val="20"/>
                <w:szCs w:val="20"/>
                <w:color w:val="auto"/>
              </w:rPr>
            </w:pPr>
            <w:r>
              <w:rPr>
                <w:rFonts w:ascii="Arial" w:cs="Arial" w:eastAsia="Arial" w:hAnsi="Arial"/>
                <w:sz w:val="16"/>
                <w:szCs w:val="16"/>
                <w:color w:val="auto"/>
              </w:rPr>
              <w:t>$</w:t>
            </w:r>
          </w:p>
        </w:tc>
        <w:tc>
          <w:tcPr>
            <w:tcW w:w="560" w:type="dxa"/>
            <w:vAlign w:val="bottom"/>
          </w:tcPr>
          <w:p>
            <w:pPr>
              <w:jc w:val="right"/>
              <w:spacing w:after="0"/>
              <w:rPr>
                <w:sz w:val="20"/>
                <w:szCs w:val="20"/>
                <w:color w:val="auto"/>
              </w:rPr>
            </w:pPr>
            <w:r>
              <w:rPr>
                <w:rFonts w:ascii="Arial" w:cs="Arial" w:eastAsia="Arial" w:hAnsi="Arial"/>
                <w:sz w:val="16"/>
                <w:szCs w:val="16"/>
                <w:color w:val="auto"/>
              </w:rPr>
              <w:t>1,759</w:t>
            </w: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304</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ind w:left="560"/>
              <w:spacing w:after="0"/>
              <w:rPr>
                <w:sz w:val="20"/>
                <w:szCs w:val="20"/>
                <w:color w:val="auto"/>
              </w:rPr>
            </w:pPr>
            <w:r>
              <w:rPr>
                <w:rFonts w:ascii="Arial" w:cs="Arial" w:eastAsia="Arial" w:hAnsi="Arial"/>
                <w:sz w:val="16"/>
                <w:szCs w:val="16"/>
                <w:color w:val="auto"/>
                <w:w w:val="96"/>
              </w:rPr>
              <w:t>(304)</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1,759</w:t>
            </w:r>
          </w:p>
        </w:tc>
        <w:tc>
          <w:tcPr>
            <w:tcW w:w="0" w:type="dxa"/>
            <w:vAlign w:val="bottom"/>
          </w:tcPr>
          <w:p>
            <w:pPr>
              <w:spacing w:after="0"/>
              <w:rPr>
                <w:sz w:val="1"/>
                <w:szCs w:val="1"/>
                <w:color w:val="auto"/>
              </w:rPr>
            </w:pPr>
          </w:p>
        </w:tc>
      </w:tr>
      <w:tr>
        <w:trPr>
          <w:trHeight w:val="20"/>
        </w:trPr>
        <w:tc>
          <w:tcPr>
            <w:tcW w:w="256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2"/>
              </w:rPr>
              <w:t>Three Months Ended September 30, 2020</w:t>
            </w:r>
          </w:p>
        </w:tc>
        <w:tc>
          <w:tcPr>
            <w:tcW w:w="1180" w:type="dxa"/>
            <w:vAlign w:val="bottom"/>
            <w:vMerge w:val="restart"/>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7"/>
        </w:trPr>
        <w:tc>
          <w:tcPr>
            <w:tcW w:w="2560" w:type="dxa"/>
            <w:vAlign w:val="bottom"/>
            <w:tcBorders>
              <w:bottom w:val="single" w:sz="8" w:color="auto"/>
            </w:tcBorders>
            <w:gridSpan w:val="2"/>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58"/>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Sales of our net production volumes:</w:t>
            </w:r>
          </w:p>
        </w:tc>
        <w:tc>
          <w:tcPr>
            <w:tcW w:w="1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3740" w:type="dxa"/>
            <w:vAlign w:val="bottom"/>
            <w:gridSpan w:val="3"/>
          </w:tcPr>
          <w:p>
            <w:pPr>
              <w:ind w:left="200"/>
              <w:spacing w:after="0"/>
              <w:rPr>
                <w:sz w:val="20"/>
                <w:szCs w:val="20"/>
                <w:color w:val="auto"/>
              </w:rPr>
            </w:pPr>
            <w:r>
              <w:rPr>
                <w:rFonts w:ascii="Arial" w:cs="Arial" w:eastAsia="Arial" w:hAnsi="Arial"/>
                <w:sz w:val="16"/>
                <w:szCs w:val="16"/>
                <w:color w:val="auto"/>
              </w:rPr>
              <w:t>Crude oil revenue</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471</w:t>
            </w:r>
          </w:p>
        </w:tc>
        <w:tc>
          <w:tcPr>
            <w:tcW w:w="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80</w:t>
            </w:r>
          </w:p>
        </w:tc>
        <w:tc>
          <w:tcPr>
            <w:tcW w:w="80" w:type="dxa"/>
            <w:vAlign w:val="bottom"/>
          </w:tcPr>
          <w:p>
            <w:pPr>
              <w:spacing w:after="0"/>
              <w:rPr>
                <w:sz w:val="18"/>
                <w:szCs w:val="18"/>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rPr>
              <w:t>$</w:t>
            </w:r>
          </w:p>
        </w:tc>
        <w:tc>
          <w:tcPr>
            <w:tcW w:w="600" w:type="dxa"/>
            <w:vAlign w:val="bottom"/>
          </w:tcPr>
          <w:p>
            <w:pPr>
              <w:jc w:val="right"/>
              <w:spacing w:after="0"/>
              <w:rPr>
                <w:sz w:val="20"/>
                <w:szCs w:val="20"/>
                <w:color w:val="auto"/>
              </w:rPr>
            </w:pPr>
            <w:r>
              <w:rPr>
                <w:rFonts w:ascii="Arial" w:cs="Arial" w:eastAsia="Arial" w:hAnsi="Arial"/>
                <w:sz w:val="16"/>
                <w:szCs w:val="16"/>
                <w:color w:val="auto"/>
              </w:rPr>
              <w:t>13</w:t>
            </w:r>
          </w:p>
        </w:tc>
        <w:tc>
          <w:tcPr>
            <w:tcW w:w="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11</w:t>
            </w:r>
          </w:p>
        </w:tc>
        <w:tc>
          <w:tcPr>
            <w:tcW w:w="340" w:type="dxa"/>
            <w:vAlign w:val="bottom"/>
            <w:gridSpan w:val="3"/>
          </w:tcPr>
          <w:p>
            <w:pPr>
              <w:jc w:val="right"/>
              <w:ind w:right="68"/>
              <w:spacing w:after="0"/>
              <w:rPr>
                <w:sz w:val="20"/>
                <w:szCs w:val="20"/>
                <w:color w:val="auto"/>
              </w:rPr>
            </w:pPr>
            <w:r>
              <w:rPr>
                <w:rFonts w:ascii="Arial" w:cs="Arial" w:eastAsia="Arial" w:hAnsi="Arial"/>
                <w:sz w:val="16"/>
                <w:szCs w:val="16"/>
                <w:color w:val="auto"/>
              </w:rPr>
              <w:t>$</w:t>
            </w:r>
          </w:p>
        </w:tc>
        <w:tc>
          <w:tcPr>
            <w:tcW w:w="560" w:type="dxa"/>
            <w:vAlign w:val="bottom"/>
          </w:tcPr>
          <w:p>
            <w:pPr>
              <w:jc w:val="right"/>
              <w:spacing w:after="0"/>
              <w:rPr>
                <w:sz w:val="20"/>
                <w:szCs w:val="20"/>
                <w:color w:val="auto"/>
              </w:rPr>
            </w:pPr>
            <w:r>
              <w:rPr>
                <w:rFonts w:ascii="Arial" w:cs="Arial" w:eastAsia="Arial" w:hAnsi="Arial"/>
                <w:sz w:val="16"/>
                <w:szCs w:val="16"/>
                <w:color w:val="auto"/>
              </w:rPr>
              <w:t>575</w:t>
            </w: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575</w:t>
            </w:r>
          </w:p>
        </w:tc>
        <w:tc>
          <w:tcPr>
            <w:tcW w:w="0" w:type="dxa"/>
            <w:vAlign w:val="bottom"/>
          </w:tcPr>
          <w:p>
            <w:pPr>
              <w:spacing w:after="0"/>
              <w:rPr>
                <w:sz w:val="1"/>
                <w:szCs w:val="1"/>
                <w:color w:val="auto"/>
              </w:rPr>
            </w:pPr>
          </w:p>
        </w:tc>
      </w:tr>
      <w:tr>
        <w:trPr>
          <w:trHeight w:val="216"/>
        </w:trPr>
        <w:tc>
          <w:tcPr>
            <w:tcW w:w="3740" w:type="dxa"/>
            <w:vAlign w:val="bottom"/>
            <w:gridSpan w:val="3"/>
          </w:tcPr>
          <w:p>
            <w:pPr>
              <w:ind w:left="200"/>
              <w:spacing w:after="0"/>
              <w:rPr>
                <w:sz w:val="20"/>
                <w:szCs w:val="20"/>
                <w:color w:val="auto"/>
              </w:rPr>
            </w:pPr>
            <w:r>
              <w:rPr>
                <w:rFonts w:ascii="Arial" w:cs="Arial" w:eastAsia="Arial" w:hAnsi="Arial"/>
                <w:sz w:val="16"/>
                <w:szCs w:val="16"/>
                <w:color w:val="auto"/>
              </w:rPr>
              <w:t>Natural gas liquids revenue</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68</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68</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68</w:t>
            </w:r>
          </w:p>
        </w:tc>
        <w:tc>
          <w:tcPr>
            <w:tcW w:w="0" w:type="dxa"/>
            <w:vAlign w:val="bottom"/>
          </w:tcPr>
          <w:p>
            <w:pPr>
              <w:spacing w:after="0"/>
              <w:rPr>
                <w:sz w:val="1"/>
                <w:szCs w:val="1"/>
                <w:color w:val="auto"/>
              </w:rPr>
            </w:pPr>
          </w:p>
        </w:tc>
      </w:tr>
      <w:tr>
        <w:trPr>
          <w:trHeight w:val="216"/>
        </w:trPr>
        <w:tc>
          <w:tcPr>
            <w:tcW w:w="3740" w:type="dxa"/>
            <w:vAlign w:val="bottom"/>
            <w:gridSpan w:val="3"/>
          </w:tcPr>
          <w:p>
            <w:pPr>
              <w:ind w:left="200"/>
              <w:spacing w:after="0"/>
              <w:rPr>
                <w:sz w:val="20"/>
                <w:szCs w:val="20"/>
                <w:color w:val="auto"/>
              </w:rPr>
            </w:pPr>
            <w:r>
              <w:rPr>
                <w:rFonts w:ascii="Arial" w:cs="Arial" w:eastAsia="Arial" w:hAnsi="Arial"/>
                <w:sz w:val="16"/>
                <w:szCs w:val="16"/>
                <w:color w:val="auto"/>
              </w:rPr>
              <w:t>Natural gas revenue</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34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116</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151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151</w:t>
            </w:r>
          </w:p>
        </w:tc>
        <w:tc>
          <w:tcPr>
            <w:tcW w:w="0" w:type="dxa"/>
            <w:vAlign w:val="bottom"/>
          </w:tcPr>
          <w:p>
            <w:pPr>
              <w:spacing w:after="0"/>
              <w:rPr>
                <w:sz w:val="1"/>
                <w:szCs w:val="1"/>
                <w:color w:val="auto"/>
              </w:rPr>
            </w:pPr>
          </w:p>
        </w:tc>
      </w:tr>
      <w:tr>
        <w:trPr>
          <w:trHeight w:val="216"/>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Sales of purchased oil and gas</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220</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221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221</w:t>
            </w:r>
          </w:p>
        </w:tc>
        <w:tc>
          <w:tcPr>
            <w:tcW w:w="0" w:type="dxa"/>
            <w:vAlign w:val="bottom"/>
          </w:tcPr>
          <w:p>
            <w:pPr>
              <w:spacing w:after="0"/>
              <w:rPr>
                <w:sz w:val="1"/>
                <w:szCs w:val="1"/>
                <w:color w:val="auto"/>
              </w:rPr>
            </w:pPr>
          </w:p>
        </w:tc>
      </w:tr>
      <w:tr>
        <w:trPr>
          <w:trHeight w:val="216"/>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Intercompany revenue</w:t>
            </w:r>
          </w:p>
        </w:tc>
        <w:tc>
          <w:tcPr>
            <w:tcW w:w="1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264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ind w:left="560"/>
              <w:spacing w:after="0"/>
              <w:rPr>
                <w:sz w:val="20"/>
                <w:szCs w:val="20"/>
                <w:color w:val="auto"/>
              </w:rPr>
            </w:pPr>
            <w:r>
              <w:rPr>
                <w:rFonts w:ascii="Arial" w:cs="Arial" w:eastAsia="Arial" w:hAnsi="Arial"/>
                <w:sz w:val="16"/>
                <w:szCs w:val="16"/>
                <w:color w:val="auto"/>
                <w:w w:val="96"/>
              </w:rPr>
              <w:t>(264)</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9"/>
        </w:trPr>
        <w:tc>
          <w:tcPr>
            <w:tcW w:w="3740" w:type="dxa"/>
            <w:vAlign w:val="bottom"/>
            <w:gridSpan w:val="3"/>
          </w:tcPr>
          <w:p>
            <w:pPr>
              <w:spacing w:after="0"/>
              <w:rPr>
                <w:sz w:val="20"/>
                <w:szCs w:val="20"/>
                <w:color w:val="auto"/>
              </w:rPr>
            </w:pPr>
            <w:r>
              <w:rPr>
                <w:rFonts w:ascii="Arial" w:cs="Arial" w:eastAsia="Arial" w:hAnsi="Arial"/>
                <w:sz w:val="16"/>
                <w:szCs w:val="16"/>
                <w:color w:val="auto"/>
              </w:rPr>
              <w:t>Total revenues from contracts with customers</w:t>
            </w: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793</w:t>
            </w: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81</w:t>
            </w:r>
          </w:p>
        </w:tc>
        <w:tc>
          <w:tcPr>
            <w:tcW w:w="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129</w:t>
            </w: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12</w:t>
            </w:r>
          </w:p>
        </w:tc>
        <w:tc>
          <w:tcPr>
            <w:tcW w:w="2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1,015</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264</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ind w:left="560"/>
              <w:spacing w:after="0"/>
              <w:rPr>
                <w:sz w:val="20"/>
                <w:szCs w:val="20"/>
                <w:color w:val="auto"/>
              </w:rPr>
            </w:pPr>
            <w:r>
              <w:rPr>
                <w:rFonts w:ascii="Arial" w:cs="Arial" w:eastAsia="Arial" w:hAnsi="Arial"/>
                <w:sz w:val="16"/>
                <w:szCs w:val="16"/>
                <w:color w:val="auto"/>
                <w:w w:val="96"/>
              </w:rPr>
              <w:t>(264)</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1,015</w:t>
            </w:r>
          </w:p>
        </w:tc>
        <w:tc>
          <w:tcPr>
            <w:tcW w:w="0" w:type="dxa"/>
            <w:vAlign w:val="bottom"/>
          </w:tcPr>
          <w:p>
            <w:pPr>
              <w:spacing w:after="0"/>
              <w:rPr>
                <w:sz w:val="1"/>
                <w:szCs w:val="1"/>
                <w:color w:val="auto"/>
              </w:rPr>
            </w:pPr>
          </w:p>
        </w:tc>
      </w:tr>
      <w:tr>
        <w:trPr>
          <w:trHeight w:val="219"/>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Other operating revenues (b)</w:t>
            </w:r>
          </w:p>
        </w:tc>
        <w:tc>
          <w:tcPr>
            <w:tcW w:w="1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125</w:t>
            </w:r>
          </w:p>
        </w:tc>
        <w:tc>
          <w:tcPr>
            <w:tcW w:w="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w:t>
            </w:r>
          </w:p>
        </w:tc>
        <w:tc>
          <w:tcPr>
            <w:tcW w:w="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144</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ind w:left="7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144</w:t>
            </w:r>
          </w:p>
        </w:tc>
        <w:tc>
          <w:tcPr>
            <w:tcW w:w="0" w:type="dxa"/>
            <w:vAlign w:val="bottom"/>
          </w:tcPr>
          <w:p>
            <w:pPr>
              <w:spacing w:after="0"/>
              <w:rPr>
                <w:sz w:val="1"/>
                <w:szCs w:val="1"/>
                <w:color w:val="auto"/>
              </w:rPr>
            </w:pPr>
          </w:p>
        </w:tc>
      </w:tr>
      <w:tr>
        <w:trPr>
          <w:trHeight w:val="213"/>
        </w:trPr>
        <w:tc>
          <w:tcPr>
            <w:tcW w:w="3740" w:type="dxa"/>
            <w:vAlign w:val="bottom"/>
            <w:gridSpan w:val="3"/>
          </w:tcPr>
          <w:p>
            <w:pPr>
              <w:spacing w:after="0"/>
              <w:rPr>
                <w:sz w:val="20"/>
                <w:szCs w:val="20"/>
                <w:color w:val="auto"/>
              </w:rPr>
            </w:pPr>
            <w:r>
              <w:rPr>
                <w:rFonts w:ascii="Arial" w:cs="Arial" w:eastAsia="Arial" w:hAnsi="Arial"/>
                <w:sz w:val="16"/>
                <w:szCs w:val="16"/>
                <w:color w:val="auto"/>
              </w:rPr>
              <w:t>Total sales and other operating revenues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918</w:t>
            </w:r>
          </w:p>
        </w:tc>
        <w:tc>
          <w:tcPr>
            <w:tcW w:w="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99</w:t>
            </w:r>
          </w:p>
        </w:tc>
        <w:tc>
          <w:tcPr>
            <w:tcW w:w="80" w:type="dxa"/>
            <w:vAlign w:val="bottom"/>
          </w:tcPr>
          <w:p>
            <w:pPr>
              <w:spacing w:after="0"/>
              <w:rPr>
                <w:sz w:val="18"/>
                <w:szCs w:val="18"/>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rPr>
              <w:t>$</w:t>
            </w:r>
          </w:p>
        </w:tc>
        <w:tc>
          <w:tcPr>
            <w:tcW w:w="600" w:type="dxa"/>
            <w:vAlign w:val="bottom"/>
          </w:tcPr>
          <w:p>
            <w:pPr>
              <w:jc w:val="right"/>
              <w:spacing w:after="0"/>
              <w:rPr>
                <w:sz w:val="20"/>
                <w:szCs w:val="20"/>
                <w:color w:val="auto"/>
              </w:rPr>
            </w:pPr>
            <w:r>
              <w:rPr>
                <w:rFonts w:ascii="Arial" w:cs="Arial" w:eastAsia="Arial" w:hAnsi="Arial"/>
                <w:sz w:val="16"/>
                <w:szCs w:val="16"/>
                <w:color w:val="auto"/>
              </w:rPr>
              <w:t>129</w:t>
            </w:r>
          </w:p>
        </w:tc>
        <w:tc>
          <w:tcPr>
            <w:tcW w:w="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13</w:t>
            </w:r>
          </w:p>
        </w:tc>
        <w:tc>
          <w:tcPr>
            <w:tcW w:w="340" w:type="dxa"/>
            <w:vAlign w:val="bottom"/>
            <w:gridSpan w:val="3"/>
          </w:tcPr>
          <w:p>
            <w:pPr>
              <w:jc w:val="right"/>
              <w:ind w:right="68"/>
              <w:spacing w:after="0"/>
              <w:rPr>
                <w:sz w:val="20"/>
                <w:szCs w:val="20"/>
                <w:color w:val="auto"/>
              </w:rPr>
            </w:pPr>
            <w:r>
              <w:rPr>
                <w:rFonts w:ascii="Arial" w:cs="Arial" w:eastAsia="Arial" w:hAnsi="Arial"/>
                <w:sz w:val="16"/>
                <w:szCs w:val="16"/>
                <w:color w:val="auto"/>
              </w:rPr>
              <w:t>$</w:t>
            </w:r>
          </w:p>
        </w:tc>
        <w:tc>
          <w:tcPr>
            <w:tcW w:w="560" w:type="dxa"/>
            <w:vAlign w:val="bottom"/>
          </w:tcPr>
          <w:p>
            <w:pPr>
              <w:jc w:val="right"/>
              <w:spacing w:after="0"/>
              <w:rPr>
                <w:sz w:val="20"/>
                <w:szCs w:val="20"/>
                <w:color w:val="auto"/>
              </w:rPr>
            </w:pPr>
            <w:r>
              <w:rPr>
                <w:rFonts w:ascii="Arial" w:cs="Arial" w:eastAsia="Arial" w:hAnsi="Arial"/>
                <w:sz w:val="16"/>
                <w:szCs w:val="16"/>
                <w:color w:val="auto"/>
              </w:rPr>
              <w:t>1,159</w:t>
            </w: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264</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ind w:left="560"/>
              <w:spacing w:after="0"/>
              <w:rPr>
                <w:sz w:val="20"/>
                <w:szCs w:val="20"/>
                <w:color w:val="auto"/>
              </w:rPr>
            </w:pPr>
            <w:r>
              <w:rPr>
                <w:rFonts w:ascii="Arial" w:cs="Arial" w:eastAsia="Arial" w:hAnsi="Arial"/>
                <w:sz w:val="16"/>
                <w:szCs w:val="16"/>
                <w:color w:val="auto"/>
                <w:w w:val="96"/>
              </w:rPr>
              <w:t>(264)</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1,159</w:t>
            </w:r>
          </w:p>
        </w:tc>
        <w:tc>
          <w:tcPr>
            <w:tcW w:w="0" w:type="dxa"/>
            <w:vAlign w:val="bottom"/>
          </w:tcPr>
          <w:p>
            <w:pPr>
              <w:spacing w:after="0"/>
              <w:rPr>
                <w:sz w:val="1"/>
                <w:szCs w:val="1"/>
                <w:color w:val="auto"/>
              </w:rPr>
            </w:pPr>
          </w:p>
        </w:tc>
      </w:tr>
      <w:tr>
        <w:trPr>
          <w:trHeight w:val="20"/>
        </w:trPr>
        <w:tc>
          <w:tcPr>
            <w:tcW w:w="2480" w:type="dxa"/>
            <w:vAlign w:val="bottom"/>
            <w:vMerge w:val="restart"/>
          </w:tcPr>
          <w:p>
            <w:pPr>
              <w:spacing w:after="0" w:line="155" w:lineRule="exact"/>
              <w:rPr>
                <w:sz w:val="20"/>
                <w:szCs w:val="20"/>
                <w:color w:val="auto"/>
              </w:rPr>
            </w:pPr>
            <w:r>
              <w:rPr>
                <w:rFonts w:ascii="Arial" w:cs="Arial" w:eastAsia="Arial" w:hAnsi="Arial"/>
                <w:sz w:val="14"/>
                <w:szCs w:val="14"/>
                <w:b w:val="1"/>
                <w:bCs w:val="1"/>
                <w:color w:val="auto"/>
                <w:w w:val="92"/>
              </w:rPr>
              <w:t>Nine Months Ended September 30, 2021</w:t>
            </w:r>
          </w:p>
        </w:tc>
        <w:tc>
          <w:tcPr>
            <w:tcW w:w="1260" w:type="dxa"/>
            <w:vAlign w:val="bottom"/>
            <w:gridSpan w:val="2"/>
            <w:vMerge w:val="restart"/>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0"/>
        </w:trPr>
        <w:tc>
          <w:tcPr>
            <w:tcW w:w="2480" w:type="dxa"/>
            <w:vAlign w:val="bottom"/>
            <w:tcBorders>
              <w:bottom w:val="single" w:sz="8" w:color="auto"/>
            </w:tcBorders>
            <w:vMerge w:val="continue"/>
          </w:tcPr>
          <w:p>
            <w:pPr>
              <w:spacing w:after="0"/>
              <w:rPr>
                <w:sz w:val="10"/>
                <w:szCs w:val="10"/>
                <w:color w:val="auto"/>
              </w:rPr>
            </w:pPr>
          </w:p>
        </w:tc>
        <w:tc>
          <w:tcPr>
            <w:tcW w:w="126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Sales of our net production volumes:</w:t>
            </w:r>
          </w:p>
        </w:tc>
        <w:tc>
          <w:tcPr>
            <w:tcW w:w="1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740" w:type="dxa"/>
            <w:vAlign w:val="bottom"/>
            <w:gridSpan w:val="3"/>
          </w:tcPr>
          <w:p>
            <w:pPr>
              <w:ind w:left="200"/>
              <w:spacing w:after="0"/>
              <w:rPr>
                <w:sz w:val="20"/>
                <w:szCs w:val="20"/>
                <w:color w:val="auto"/>
              </w:rPr>
            </w:pPr>
            <w:r>
              <w:rPr>
                <w:rFonts w:ascii="Arial" w:cs="Arial" w:eastAsia="Arial" w:hAnsi="Arial"/>
                <w:sz w:val="16"/>
                <w:szCs w:val="16"/>
                <w:color w:val="auto"/>
              </w:rPr>
              <w:t>Crude oil revenue</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2,200</w:t>
            </w:r>
          </w:p>
        </w:tc>
        <w:tc>
          <w:tcPr>
            <w:tcW w:w="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529</w:t>
            </w:r>
          </w:p>
        </w:tc>
        <w:tc>
          <w:tcPr>
            <w:tcW w:w="80" w:type="dxa"/>
            <w:vAlign w:val="bottom"/>
          </w:tcPr>
          <w:p>
            <w:pPr>
              <w:spacing w:after="0"/>
              <w:rPr>
                <w:sz w:val="18"/>
                <w:szCs w:val="18"/>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rPr>
              <w:t>$</w:t>
            </w:r>
          </w:p>
        </w:tc>
        <w:tc>
          <w:tcPr>
            <w:tcW w:w="600" w:type="dxa"/>
            <w:vAlign w:val="bottom"/>
          </w:tcPr>
          <w:p>
            <w:pPr>
              <w:jc w:val="right"/>
              <w:spacing w:after="0"/>
              <w:rPr>
                <w:sz w:val="20"/>
                <w:szCs w:val="20"/>
                <w:color w:val="auto"/>
              </w:rPr>
            </w:pPr>
            <w:r>
              <w:rPr>
                <w:rFonts w:ascii="Arial" w:cs="Arial" w:eastAsia="Arial" w:hAnsi="Arial"/>
                <w:sz w:val="16"/>
                <w:szCs w:val="16"/>
                <w:color w:val="auto"/>
              </w:rPr>
              <w:t>51</w:t>
            </w:r>
          </w:p>
        </w:tc>
        <w:tc>
          <w:tcPr>
            <w:tcW w:w="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355</w:t>
            </w:r>
          </w:p>
        </w:tc>
        <w:tc>
          <w:tcPr>
            <w:tcW w:w="340" w:type="dxa"/>
            <w:vAlign w:val="bottom"/>
            <w:gridSpan w:val="3"/>
          </w:tcPr>
          <w:p>
            <w:pPr>
              <w:jc w:val="right"/>
              <w:ind w:right="68"/>
              <w:spacing w:after="0"/>
              <w:rPr>
                <w:sz w:val="20"/>
                <w:szCs w:val="20"/>
                <w:color w:val="auto"/>
              </w:rPr>
            </w:pPr>
            <w:r>
              <w:rPr>
                <w:rFonts w:ascii="Arial" w:cs="Arial" w:eastAsia="Arial" w:hAnsi="Arial"/>
                <w:sz w:val="16"/>
                <w:szCs w:val="16"/>
                <w:color w:val="auto"/>
              </w:rPr>
              <w:t>$</w:t>
            </w:r>
          </w:p>
        </w:tc>
        <w:tc>
          <w:tcPr>
            <w:tcW w:w="560" w:type="dxa"/>
            <w:vAlign w:val="bottom"/>
          </w:tcPr>
          <w:p>
            <w:pPr>
              <w:jc w:val="right"/>
              <w:spacing w:after="0"/>
              <w:rPr>
                <w:sz w:val="20"/>
                <w:szCs w:val="20"/>
                <w:color w:val="auto"/>
              </w:rPr>
            </w:pPr>
            <w:r>
              <w:rPr>
                <w:rFonts w:ascii="Arial" w:cs="Arial" w:eastAsia="Arial" w:hAnsi="Arial"/>
                <w:sz w:val="16"/>
                <w:szCs w:val="16"/>
                <w:color w:val="auto"/>
              </w:rPr>
              <w:t>3,135</w:t>
            </w: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3,135</w:t>
            </w:r>
          </w:p>
        </w:tc>
        <w:tc>
          <w:tcPr>
            <w:tcW w:w="0" w:type="dxa"/>
            <w:vAlign w:val="bottom"/>
          </w:tcPr>
          <w:p>
            <w:pPr>
              <w:spacing w:after="0"/>
              <w:rPr>
                <w:sz w:val="1"/>
                <w:szCs w:val="1"/>
                <w:color w:val="auto"/>
              </w:rPr>
            </w:pPr>
          </w:p>
        </w:tc>
      </w:tr>
      <w:tr>
        <w:trPr>
          <w:trHeight w:val="216"/>
        </w:trPr>
        <w:tc>
          <w:tcPr>
            <w:tcW w:w="3740" w:type="dxa"/>
            <w:vAlign w:val="bottom"/>
            <w:gridSpan w:val="3"/>
          </w:tcPr>
          <w:p>
            <w:pPr>
              <w:ind w:left="200"/>
              <w:spacing w:after="0"/>
              <w:rPr>
                <w:sz w:val="20"/>
                <w:szCs w:val="20"/>
                <w:color w:val="auto"/>
              </w:rPr>
            </w:pPr>
            <w:r>
              <w:rPr>
                <w:rFonts w:ascii="Arial" w:cs="Arial" w:eastAsia="Arial" w:hAnsi="Arial"/>
                <w:sz w:val="16"/>
                <w:szCs w:val="16"/>
                <w:color w:val="auto"/>
              </w:rPr>
              <w:t>Natural gas liquids revenue</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406</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406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406</w:t>
            </w:r>
          </w:p>
        </w:tc>
        <w:tc>
          <w:tcPr>
            <w:tcW w:w="0" w:type="dxa"/>
            <w:vAlign w:val="bottom"/>
          </w:tcPr>
          <w:p>
            <w:pPr>
              <w:spacing w:after="0"/>
              <w:rPr>
                <w:sz w:val="1"/>
                <w:szCs w:val="1"/>
                <w:color w:val="auto"/>
              </w:rPr>
            </w:pPr>
          </w:p>
        </w:tc>
      </w:tr>
      <w:tr>
        <w:trPr>
          <w:trHeight w:val="216"/>
        </w:trPr>
        <w:tc>
          <w:tcPr>
            <w:tcW w:w="3740" w:type="dxa"/>
            <w:vAlign w:val="bottom"/>
            <w:gridSpan w:val="3"/>
          </w:tcPr>
          <w:p>
            <w:pPr>
              <w:ind w:left="200"/>
              <w:spacing w:after="0"/>
              <w:rPr>
                <w:sz w:val="20"/>
                <w:szCs w:val="20"/>
                <w:color w:val="auto"/>
              </w:rPr>
            </w:pPr>
            <w:r>
              <w:rPr>
                <w:rFonts w:ascii="Arial" w:cs="Arial" w:eastAsia="Arial" w:hAnsi="Arial"/>
                <w:sz w:val="16"/>
                <w:szCs w:val="16"/>
                <w:color w:val="auto"/>
              </w:rPr>
              <w:t>Natural gas revenue</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251</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484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6</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741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741</w:t>
            </w:r>
          </w:p>
        </w:tc>
        <w:tc>
          <w:tcPr>
            <w:tcW w:w="0" w:type="dxa"/>
            <w:vAlign w:val="bottom"/>
          </w:tcPr>
          <w:p>
            <w:pPr>
              <w:spacing w:after="0"/>
              <w:rPr>
                <w:sz w:val="1"/>
                <w:szCs w:val="1"/>
                <w:color w:val="auto"/>
              </w:rPr>
            </w:pPr>
          </w:p>
        </w:tc>
      </w:tr>
      <w:tr>
        <w:trPr>
          <w:trHeight w:val="216"/>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Sales of purchased oil and gas</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1,054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12</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68</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1,134</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1,134</w:t>
            </w:r>
          </w:p>
        </w:tc>
        <w:tc>
          <w:tcPr>
            <w:tcW w:w="0" w:type="dxa"/>
            <w:vAlign w:val="bottom"/>
          </w:tcPr>
          <w:p>
            <w:pPr>
              <w:spacing w:after="0"/>
              <w:rPr>
                <w:sz w:val="1"/>
                <w:szCs w:val="1"/>
                <w:color w:val="auto"/>
              </w:rPr>
            </w:pPr>
          </w:p>
        </w:tc>
      </w:tr>
      <w:tr>
        <w:trPr>
          <w:trHeight w:val="216"/>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Intercompany revenue</w:t>
            </w:r>
          </w:p>
        </w:tc>
        <w:tc>
          <w:tcPr>
            <w:tcW w:w="1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887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ind w:left="560"/>
              <w:spacing w:after="0"/>
              <w:rPr>
                <w:sz w:val="20"/>
                <w:szCs w:val="20"/>
                <w:color w:val="auto"/>
              </w:rPr>
            </w:pPr>
            <w:r>
              <w:rPr>
                <w:rFonts w:ascii="Arial" w:cs="Arial" w:eastAsia="Arial" w:hAnsi="Arial"/>
                <w:sz w:val="16"/>
                <w:szCs w:val="16"/>
                <w:color w:val="auto"/>
                <w:w w:val="96"/>
              </w:rPr>
              <w:t>(887)</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0"/>
        </w:trPr>
        <w:tc>
          <w:tcPr>
            <w:tcW w:w="3740" w:type="dxa"/>
            <w:vAlign w:val="bottom"/>
            <w:gridSpan w:val="3"/>
          </w:tcPr>
          <w:p>
            <w:pPr>
              <w:spacing w:after="0"/>
              <w:rPr>
                <w:sz w:val="20"/>
                <w:szCs w:val="20"/>
                <w:color w:val="auto"/>
              </w:rPr>
            </w:pPr>
            <w:r>
              <w:rPr>
                <w:rFonts w:ascii="Arial" w:cs="Arial" w:eastAsia="Arial" w:hAnsi="Arial"/>
                <w:sz w:val="16"/>
                <w:szCs w:val="16"/>
                <w:color w:val="auto"/>
              </w:rPr>
              <w:t>Total revenues from contracts with customers</w:t>
            </w: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3,911</w:t>
            </w: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541</w:t>
            </w:r>
          </w:p>
        </w:tc>
        <w:tc>
          <w:tcPr>
            <w:tcW w:w="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535</w:t>
            </w: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429</w:t>
            </w:r>
          </w:p>
        </w:tc>
        <w:tc>
          <w:tcPr>
            <w:tcW w:w="2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5,416</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887</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ind w:left="560"/>
              <w:spacing w:after="0"/>
              <w:rPr>
                <w:sz w:val="20"/>
                <w:szCs w:val="20"/>
                <w:color w:val="auto"/>
              </w:rPr>
            </w:pPr>
            <w:r>
              <w:rPr>
                <w:rFonts w:ascii="Arial" w:cs="Arial" w:eastAsia="Arial" w:hAnsi="Arial"/>
                <w:sz w:val="16"/>
                <w:szCs w:val="16"/>
                <w:color w:val="auto"/>
                <w:w w:val="96"/>
              </w:rPr>
              <w:t>(887)</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5,416</w:t>
            </w:r>
          </w:p>
        </w:tc>
        <w:tc>
          <w:tcPr>
            <w:tcW w:w="0" w:type="dxa"/>
            <w:vAlign w:val="bottom"/>
          </w:tcPr>
          <w:p>
            <w:pPr>
              <w:spacing w:after="0"/>
              <w:rPr>
                <w:sz w:val="1"/>
                <w:szCs w:val="1"/>
                <w:color w:val="auto"/>
              </w:rPr>
            </w:pPr>
          </w:p>
        </w:tc>
      </w:tr>
      <w:tr>
        <w:trPr>
          <w:trHeight w:val="219"/>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Other operating revenues (b)</w:t>
            </w:r>
          </w:p>
        </w:tc>
        <w:tc>
          <w:tcPr>
            <w:tcW w:w="1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(145)</w:t>
            </w:r>
          </w:p>
        </w:tc>
        <w:tc>
          <w:tcPr>
            <w:tcW w:w="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w:t>
            </w:r>
          </w:p>
        </w:tc>
        <w:tc>
          <w:tcPr>
            <w:tcW w:w="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(180)</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ind w:left="7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(180)</w:t>
            </w:r>
          </w:p>
        </w:tc>
        <w:tc>
          <w:tcPr>
            <w:tcW w:w="0" w:type="dxa"/>
            <w:vAlign w:val="bottom"/>
          </w:tcPr>
          <w:p>
            <w:pPr>
              <w:spacing w:after="0"/>
              <w:rPr>
                <w:sz w:val="1"/>
                <w:szCs w:val="1"/>
                <w:color w:val="auto"/>
              </w:rPr>
            </w:pPr>
          </w:p>
        </w:tc>
      </w:tr>
      <w:tr>
        <w:trPr>
          <w:trHeight w:val="212"/>
        </w:trPr>
        <w:tc>
          <w:tcPr>
            <w:tcW w:w="3740" w:type="dxa"/>
            <w:vAlign w:val="bottom"/>
            <w:gridSpan w:val="3"/>
          </w:tcPr>
          <w:p>
            <w:pPr>
              <w:spacing w:after="0"/>
              <w:rPr>
                <w:sz w:val="20"/>
                <w:szCs w:val="20"/>
                <w:color w:val="auto"/>
              </w:rPr>
            </w:pPr>
            <w:r>
              <w:rPr>
                <w:rFonts w:ascii="Arial" w:cs="Arial" w:eastAsia="Arial" w:hAnsi="Arial"/>
                <w:sz w:val="16"/>
                <w:szCs w:val="16"/>
                <w:color w:val="auto"/>
              </w:rPr>
              <w:t>Total sales and other operating revenues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3,766</w:t>
            </w:r>
          </w:p>
        </w:tc>
        <w:tc>
          <w:tcPr>
            <w:tcW w:w="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522</w:t>
            </w:r>
          </w:p>
        </w:tc>
        <w:tc>
          <w:tcPr>
            <w:tcW w:w="80" w:type="dxa"/>
            <w:vAlign w:val="bottom"/>
          </w:tcPr>
          <w:p>
            <w:pPr>
              <w:spacing w:after="0"/>
              <w:rPr>
                <w:sz w:val="18"/>
                <w:szCs w:val="18"/>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rPr>
              <w:t>$</w:t>
            </w:r>
          </w:p>
        </w:tc>
        <w:tc>
          <w:tcPr>
            <w:tcW w:w="600" w:type="dxa"/>
            <w:vAlign w:val="bottom"/>
          </w:tcPr>
          <w:p>
            <w:pPr>
              <w:jc w:val="right"/>
              <w:spacing w:after="0"/>
              <w:rPr>
                <w:sz w:val="20"/>
                <w:szCs w:val="20"/>
                <w:color w:val="auto"/>
              </w:rPr>
            </w:pPr>
            <w:r>
              <w:rPr>
                <w:rFonts w:ascii="Arial" w:cs="Arial" w:eastAsia="Arial" w:hAnsi="Arial"/>
                <w:sz w:val="16"/>
                <w:szCs w:val="16"/>
                <w:color w:val="auto"/>
              </w:rPr>
              <w:t>535</w:t>
            </w:r>
          </w:p>
        </w:tc>
        <w:tc>
          <w:tcPr>
            <w:tcW w:w="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413</w:t>
            </w:r>
          </w:p>
        </w:tc>
        <w:tc>
          <w:tcPr>
            <w:tcW w:w="340" w:type="dxa"/>
            <w:vAlign w:val="bottom"/>
            <w:gridSpan w:val="3"/>
          </w:tcPr>
          <w:p>
            <w:pPr>
              <w:jc w:val="right"/>
              <w:ind w:right="68"/>
              <w:spacing w:after="0"/>
              <w:rPr>
                <w:sz w:val="20"/>
                <w:szCs w:val="20"/>
                <w:color w:val="auto"/>
              </w:rPr>
            </w:pPr>
            <w:r>
              <w:rPr>
                <w:rFonts w:ascii="Arial" w:cs="Arial" w:eastAsia="Arial" w:hAnsi="Arial"/>
                <w:sz w:val="16"/>
                <w:szCs w:val="16"/>
                <w:color w:val="auto"/>
              </w:rPr>
              <w:t>$</w:t>
            </w:r>
          </w:p>
        </w:tc>
        <w:tc>
          <w:tcPr>
            <w:tcW w:w="560" w:type="dxa"/>
            <w:vAlign w:val="bottom"/>
          </w:tcPr>
          <w:p>
            <w:pPr>
              <w:jc w:val="right"/>
              <w:spacing w:after="0"/>
              <w:rPr>
                <w:sz w:val="20"/>
                <w:szCs w:val="20"/>
                <w:color w:val="auto"/>
              </w:rPr>
            </w:pPr>
            <w:r>
              <w:rPr>
                <w:rFonts w:ascii="Arial" w:cs="Arial" w:eastAsia="Arial" w:hAnsi="Arial"/>
                <w:sz w:val="16"/>
                <w:szCs w:val="16"/>
                <w:color w:val="auto"/>
              </w:rPr>
              <w:t>5,236</w:t>
            </w: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887</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ind w:left="560"/>
              <w:spacing w:after="0"/>
              <w:rPr>
                <w:sz w:val="20"/>
                <w:szCs w:val="20"/>
                <w:color w:val="auto"/>
              </w:rPr>
            </w:pPr>
            <w:r>
              <w:rPr>
                <w:rFonts w:ascii="Arial" w:cs="Arial" w:eastAsia="Arial" w:hAnsi="Arial"/>
                <w:sz w:val="16"/>
                <w:szCs w:val="16"/>
                <w:color w:val="auto"/>
                <w:w w:val="96"/>
              </w:rPr>
              <w:t>(887)</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5,236</w:t>
            </w:r>
          </w:p>
        </w:tc>
        <w:tc>
          <w:tcPr>
            <w:tcW w:w="0" w:type="dxa"/>
            <w:vAlign w:val="bottom"/>
          </w:tcPr>
          <w:p>
            <w:pPr>
              <w:spacing w:after="0"/>
              <w:rPr>
                <w:sz w:val="1"/>
                <w:szCs w:val="1"/>
                <w:color w:val="auto"/>
              </w:rPr>
            </w:pPr>
          </w:p>
        </w:tc>
      </w:tr>
      <w:tr>
        <w:trPr>
          <w:trHeight w:val="21"/>
        </w:trPr>
        <w:tc>
          <w:tcPr>
            <w:tcW w:w="2480" w:type="dxa"/>
            <w:vAlign w:val="bottom"/>
            <w:vMerge w:val="restart"/>
          </w:tcPr>
          <w:p>
            <w:pPr>
              <w:spacing w:after="0" w:line="155" w:lineRule="exact"/>
              <w:rPr>
                <w:sz w:val="20"/>
                <w:szCs w:val="20"/>
                <w:color w:val="auto"/>
              </w:rPr>
            </w:pPr>
            <w:r>
              <w:rPr>
                <w:rFonts w:ascii="Arial" w:cs="Arial" w:eastAsia="Arial" w:hAnsi="Arial"/>
                <w:sz w:val="14"/>
                <w:szCs w:val="14"/>
                <w:b w:val="1"/>
                <w:bCs w:val="1"/>
                <w:color w:val="auto"/>
                <w:w w:val="92"/>
              </w:rPr>
              <w:t>Nine Months Ended September 30, 2020</w:t>
            </w:r>
          </w:p>
        </w:tc>
        <w:tc>
          <w:tcPr>
            <w:tcW w:w="1260" w:type="dxa"/>
            <w:vAlign w:val="bottom"/>
            <w:gridSpan w:val="2"/>
            <w:vMerge w:val="restart"/>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20"/>
        </w:trPr>
        <w:tc>
          <w:tcPr>
            <w:tcW w:w="2480" w:type="dxa"/>
            <w:vAlign w:val="bottom"/>
            <w:tcBorders>
              <w:bottom w:val="single" w:sz="8" w:color="auto"/>
            </w:tcBorders>
            <w:vMerge w:val="continue"/>
          </w:tcPr>
          <w:p>
            <w:pPr>
              <w:spacing w:after="0"/>
              <w:rPr>
                <w:sz w:val="10"/>
                <w:szCs w:val="10"/>
                <w:color w:val="auto"/>
              </w:rPr>
            </w:pPr>
          </w:p>
        </w:tc>
        <w:tc>
          <w:tcPr>
            <w:tcW w:w="126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Sales of our net production volumes:</w:t>
            </w:r>
          </w:p>
        </w:tc>
        <w:tc>
          <w:tcPr>
            <w:tcW w:w="1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3740" w:type="dxa"/>
            <w:vAlign w:val="bottom"/>
            <w:gridSpan w:val="3"/>
          </w:tcPr>
          <w:p>
            <w:pPr>
              <w:ind w:left="200"/>
              <w:spacing w:after="0"/>
              <w:rPr>
                <w:sz w:val="20"/>
                <w:szCs w:val="20"/>
                <w:color w:val="auto"/>
              </w:rPr>
            </w:pPr>
            <w:r>
              <w:rPr>
                <w:rFonts w:ascii="Arial" w:cs="Arial" w:eastAsia="Arial" w:hAnsi="Arial"/>
                <w:sz w:val="16"/>
                <w:szCs w:val="16"/>
                <w:color w:val="auto"/>
              </w:rPr>
              <w:t>Crude oil revenue</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1,390</w:t>
            </w:r>
          </w:p>
        </w:tc>
        <w:tc>
          <w:tcPr>
            <w:tcW w:w="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149</w:t>
            </w:r>
          </w:p>
        </w:tc>
        <w:tc>
          <w:tcPr>
            <w:tcW w:w="80" w:type="dxa"/>
            <w:vAlign w:val="bottom"/>
          </w:tcPr>
          <w:p>
            <w:pPr>
              <w:spacing w:after="0"/>
              <w:rPr>
                <w:sz w:val="18"/>
                <w:szCs w:val="18"/>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rPr>
              <w:t>$</w:t>
            </w:r>
          </w:p>
        </w:tc>
        <w:tc>
          <w:tcPr>
            <w:tcW w:w="600" w:type="dxa"/>
            <w:vAlign w:val="bottom"/>
          </w:tcPr>
          <w:p>
            <w:pPr>
              <w:jc w:val="right"/>
              <w:spacing w:after="0"/>
              <w:rPr>
                <w:sz w:val="20"/>
                <w:szCs w:val="20"/>
                <w:color w:val="auto"/>
              </w:rPr>
            </w:pPr>
            <w:r>
              <w:rPr>
                <w:rFonts w:ascii="Arial" w:cs="Arial" w:eastAsia="Arial" w:hAnsi="Arial"/>
                <w:sz w:val="16"/>
                <w:szCs w:val="16"/>
                <w:color w:val="auto"/>
              </w:rPr>
              <w:t>16</w:t>
            </w:r>
          </w:p>
        </w:tc>
        <w:tc>
          <w:tcPr>
            <w:tcW w:w="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61</w:t>
            </w:r>
          </w:p>
        </w:tc>
        <w:tc>
          <w:tcPr>
            <w:tcW w:w="340" w:type="dxa"/>
            <w:vAlign w:val="bottom"/>
            <w:gridSpan w:val="3"/>
          </w:tcPr>
          <w:p>
            <w:pPr>
              <w:jc w:val="right"/>
              <w:ind w:right="68"/>
              <w:spacing w:after="0"/>
              <w:rPr>
                <w:sz w:val="20"/>
                <w:szCs w:val="20"/>
                <w:color w:val="auto"/>
              </w:rPr>
            </w:pPr>
            <w:r>
              <w:rPr>
                <w:rFonts w:ascii="Arial" w:cs="Arial" w:eastAsia="Arial" w:hAnsi="Arial"/>
                <w:sz w:val="16"/>
                <w:szCs w:val="16"/>
                <w:color w:val="auto"/>
              </w:rPr>
              <w:t>$</w:t>
            </w:r>
          </w:p>
        </w:tc>
        <w:tc>
          <w:tcPr>
            <w:tcW w:w="560" w:type="dxa"/>
            <w:vAlign w:val="bottom"/>
          </w:tcPr>
          <w:p>
            <w:pPr>
              <w:jc w:val="right"/>
              <w:spacing w:after="0"/>
              <w:rPr>
                <w:sz w:val="20"/>
                <w:szCs w:val="20"/>
                <w:color w:val="auto"/>
              </w:rPr>
            </w:pPr>
            <w:r>
              <w:rPr>
                <w:rFonts w:ascii="Arial" w:cs="Arial" w:eastAsia="Arial" w:hAnsi="Arial"/>
                <w:sz w:val="16"/>
                <w:szCs w:val="16"/>
                <w:color w:val="auto"/>
              </w:rPr>
              <w:t>1,616</w:t>
            </w: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1,616</w:t>
            </w:r>
          </w:p>
        </w:tc>
        <w:tc>
          <w:tcPr>
            <w:tcW w:w="0" w:type="dxa"/>
            <w:vAlign w:val="bottom"/>
          </w:tcPr>
          <w:p>
            <w:pPr>
              <w:spacing w:after="0"/>
              <w:rPr>
                <w:sz w:val="1"/>
                <w:szCs w:val="1"/>
                <w:color w:val="auto"/>
              </w:rPr>
            </w:pPr>
          </w:p>
        </w:tc>
      </w:tr>
      <w:tr>
        <w:trPr>
          <w:trHeight w:val="216"/>
        </w:trPr>
        <w:tc>
          <w:tcPr>
            <w:tcW w:w="3740" w:type="dxa"/>
            <w:vAlign w:val="bottom"/>
            <w:gridSpan w:val="3"/>
          </w:tcPr>
          <w:p>
            <w:pPr>
              <w:ind w:left="200"/>
              <w:spacing w:after="0"/>
              <w:rPr>
                <w:sz w:val="20"/>
                <w:szCs w:val="20"/>
                <w:color w:val="auto"/>
              </w:rPr>
            </w:pPr>
            <w:r>
              <w:rPr>
                <w:rFonts w:ascii="Arial" w:cs="Arial" w:eastAsia="Arial" w:hAnsi="Arial"/>
                <w:sz w:val="16"/>
                <w:szCs w:val="16"/>
                <w:color w:val="auto"/>
              </w:rPr>
              <w:t>Natural gas liquids revenue</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159</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159</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159</w:t>
            </w:r>
          </w:p>
        </w:tc>
        <w:tc>
          <w:tcPr>
            <w:tcW w:w="0" w:type="dxa"/>
            <w:vAlign w:val="bottom"/>
          </w:tcPr>
          <w:p>
            <w:pPr>
              <w:spacing w:after="0"/>
              <w:rPr>
                <w:sz w:val="1"/>
                <w:szCs w:val="1"/>
                <w:color w:val="auto"/>
              </w:rPr>
            </w:pPr>
          </w:p>
        </w:tc>
      </w:tr>
      <w:tr>
        <w:trPr>
          <w:trHeight w:val="216"/>
        </w:trPr>
        <w:tc>
          <w:tcPr>
            <w:tcW w:w="3740" w:type="dxa"/>
            <w:vAlign w:val="bottom"/>
            <w:gridSpan w:val="3"/>
          </w:tcPr>
          <w:p>
            <w:pPr>
              <w:ind w:left="200"/>
              <w:spacing w:after="0"/>
              <w:rPr>
                <w:sz w:val="20"/>
                <w:szCs w:val="20"/>
                <w:color w:val="auto"/>
              </w:rPr>
            </w:pPr>
            <w:r>
              <w:rPr>
                <w:rFonts w:ascii="Arial" w:cs="Arial" w:eastAsia="Arial" w:hAnsi="Arial"/>
                <w:sz w:val="16"/>
                <w:szCs w:val="16"/>
                <w:color w:val="auto"/>
              </w:rPr>
              <w:t>Natural gas revenue</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104</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344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7</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455</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455</w:t>
            </w:r>
          </w:p>
        </w:tc>
        <w:tc>
          <w:tcPr>
            <w:tcW w:w="0" w:type="dxa"/>
            <w:vAlign w:val="bottom"/>
          </w:tcPr>
          <w:p>
            <w:pPr>
              <w:spacing w:after="0"/>
              <w:rPr>
                <w:sz w:val="1"/>
                <w:szCs w:val="1"/>
                <w:color w:val="auto"/>
              </w:rPr>
            </w:pPr>
          </w:p>
        </w:tc>
      </w:tr>
      <w:tr>
        <w:trPr>
          <w:trHeight w:val="216"/>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Sales of purchased oil and gas</w:t>
            </w: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679</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6"/>
                <w:szCs w:val="16"/>
                <w:color w:val="auto"/>
              </w:rPr>
              <w:t>2</w:t>
            </w: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681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4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681</w:t>
            </w:r>
          </w:p>
        </w:tc>
        <w:tc>
          <w:tcPr>
            <w:tcW w:w="0" w:type="dxa"/>
            <w:vAlign w:val="bottom"/>
          </w:tcPr>
          <w:p>
            <w:pPr>
              <w:spacing w:after="0"/>
              <w:rPr>
                <w:sz w:val="1"/>
                <w:szCs w:val="1"/>
                <w:color w:val="auto"/>
              </w:rPr>
            </w:pPr>
          </w:p>
        </w:tc>
      </w:tr>
      <w:tr>
        <w:trPr>
          <w:trHeight w:val="216"/>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Intercompany revenue</w:t>
            </w:r>
          </w:p>
        </w:tc>
        <w:tc>
          <w:tcPr>
            <w:tcW w:w="140" w:type="dxa"/>
            <w:vAlign w:val="bottom"/>
          </w:tcPr>
          <w:p>
            <w:pPr>
              <w:spacing w:after="0"/>
              <w:rPr>
                <w:sz w:val="18"/>
                <w:szCs w:val="18"/>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825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ind w:left="560"/>
              <w:spacing w:after="0"/>
              <w:rPr>
                <w:sz w:val="20"/>
                <w:szCs w:val="20"/>
                <w:color w:val="auto"/>
              </w:rPr>
            </w:pPr>
            <w:r>
              <w:rPr>
                <w:rFonts w:ascii="Arial" w:cs="Arial" w:eastAsia="Arial" w:hAnsi="Arial"/>
                <w:sz w:val="16"/>
                <w:szCs w:val="16"/>
                <w:color w:val="auto"/>
                <w:w w:val="96"/>
              </w:rPr>
              <w:t>(825)</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0"/>
        </w:trPr>
        <w:tc>
          <w:tcPr>
            <w:tcW w:w="3740" w:type="dxa"/>
            <w:vAlign w:val="bottom"/>
            <w:gridSpan w:val="3"/>
          </w:tcPr>
          <w:p>
            <w:pPr>
              <w:spacing w:after="0"/>
              <w:rPr>
                <w:sz w:val="20"/>
                <w:szCs w:val="20"/>
                <w:color w:val="auto"/>
              </w:rPr>
            </w:pPr>
            <w:r>
              <w:rPr>
                <w:rFonts w:ascii="Arial" w:cs="Arial" w:eastAsia="Arial" w:hAnsi="Arial"/>
                <w:sz w:val="16"/>
                <w:szCs w:val="16"/>
                <w:color w:val="auto"/>
              </w:rPr>
              <w:t>Total revenues from contracts with customers</w:t>
            </w: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2,332</w:t>
            </w: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151</w:t>
            </w:r>
          </w:p>
        </w:tc>
        <w:tc>
          <w:tcPr>
            <w:tcW w:w="8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360</w:t>
            </w: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68</w:t>
            </w:r>
          </w:p>
        </w:tc>
        <w:tc>
          <w:tcPr>
            <w:tcW w:w="2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2,911</w:t>
            </w: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825</w:t>
            </w: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ind w:left="560"/>
              <w:spacing w:after="0"/>
              <w:rPr>
                <w:sz w:val="20"/>
                <w:szCs w:val="20"/>
                <w:color w:val="auto"/>
              </w:rPr>
            </w:pPr>
            <w:r>
              <w:rPr>
                <w:rFonts w:ascii="Arial" w:cs="Arial" w:eastAsia="Arial" w:hAnsi="Arial"/>
                <w:sz w:val="16"/>
                <w:szCs w:val="16"/>
                <w:color w:val="auto"/>
                <w:w w:val="96"/>
              </w:rPr>
              <w:t>(825)</w:t>
            </w:r>
          </w:p>
        </w:tc>
        <w:tc>
          <w:tcPr>
            <w:tcW w:w="10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2,911</w:t>
            </w:r>
          </w:p>
        </w:tc>
        <w:tc>
          <w:tcPr>
            <w:tcW w:w="0" w:type="dxa"/>
            <w:vAlign w:val="bottom"/>
          </w:tcPr>
          <w:p>
            <w:pPr>
              <w:spacing w:after="0"/>
              <w:rPr>
                <w:sz w:val="1"/>
                <w:szCs w:val="1"/>
                <w:color w:val="auto"/>
              </w:rPr>
            </w:pPr>
          </w:p>
        </w:tc>
      </w:tr>
      <w:tr>
        <w:trPr>
          <w:trHeight w:val="219"/>
        </w:trPr>
        <w:tc>
          <w:tcPr>
            <w:tcW w:w="3740" w:type="dxa"/>
            <w:vAlign w:val="bottom"/>
            <w:gridSpan w:val="3"/>
          </w:tcPr>
          <w:p>
            <w:pPr>
              <w:ind w:left="120"/>
              <w:spacing w:after="0"/>
              <w:rPr>
                <w:sz w:val="20"/>
                <w:szCs w:val="20"/>
                <w:color w:val="auto"/>
              </w:rPr>
            </w:pPr>
            <w:r>
              <w:rPr>
                <w:rFonts w:ascii="Arial" w:cs="Arial" w:eastAsia="Arial" w:hAnsi="Arial"/>
                <w:sz w:val="16"/>
                <w:szCs w:val="16"/>
                <w:color w:val="auto"/>
              </w:rPr>
              <w:t>Other operating revenues (b)</w:t>
            </w:r>
          </w:p>
        </w:tc>
        <w:tc>
          <w:tcPr>
            <w:tcW w:w="1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368</w:t>
            </w:r>
          </w:p>
        </w:tc>
        <w:tc>
          <w:tcPr>
            <w:tcW w:w="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w:t>
            </w:r>
          </w:p>
        </w:tc>
        <w:tc>
          <w:tcPr>
            <w:tcW w:w="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435</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ind w:left="7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435</w:t>
            </w:r>
          </w:p>
        </w:tc>
        <w:tc>
          <w:tcPr>
            <w:tcW w:w="0" w:type="dxa"/>
            <w:vAlign w:val="bottom"/>
          </w:tcPr>
          <w:p>
            <w:pPr>
              <w:spacing w:after="0"/>
              <w:rPr>
                <w:sz w:val="1"/>
                <w:szCs w:val="1"/>
                <w:color w:val="auto"/>
              </w:rPr>
            </w:pPr>
          </w:p>
        </w:tc>
      </w:tr>
      <w:tr>
        <w:trPr>
          <w:trHeight w:val="213"/>
        </w:trPr>
        <w:tc>
          <w:tcPr>
            <w:tcW w:w="3740" w:type="dxa"/>
            <w:vAlign w:val="bottom"/>
            <w:gridSpan w:val="3"/>
          </w:tcPr>
          <w:p>
            <w:pPr>
              <w:spacing w:after="0"/>
              <w:rPr>
                <w:sz w:val="20"/>
                <w:szCs w:val="20"/>
                <w:color w:val="auto"/>
              </w:rPr>
            </w:pPr>
            <w:r>
              <w:rPr>
                <w:rFonts w:ascii="Arial" w:cs="Arial" w:eastAsia="Arial" w:hAnsi="Arial"/>
                <w:sz w:val="16"/>
                <w:szCs w:val="16"/>
                <w:color w:val="auto"/>
              </w:rPr>
              <w:t>Total sales and other operating revenues</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2,700</w:t>
            </w:r>
          </w:p>
        </w:tc>
        <w:tc>
          <w:tcPr>
            <w:tcW w:w="8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202</w:t>
            </w:r>
          </w:p>
        </w:tc>
        <w:tc>
          <w:tcPr>
            <w:tcW w:w="80" w:type="dxa"/>
            <w:vAlign w:val="bottom"/>
          </w:tcPr>
          <w:p>
            <w:pPr>
              <w:spacing w:after="0"/>
              <w:rPr>
                <w:sz w:val="18"/>
                <w:szCs w:val="18"/>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rPr>
              <w:t>$</w:t>
            </w:r>
          </w:p>
        </w:tc>
        <w:tc>
          <w:tcPr>
            <w:tcW w:w="600" w:type="dxa"/>
            <w:vAlign w:val="bottom"/>
          </w:tcPr>
          <w:p>
            <w:pPr>
              <w:jc w:val="right"/>
              <w:spacing w:after="0"/>
              <w:rPr>
                <w:sz w:val="20"/>
                <w:szCs w:val="20"/>
                <w:color w:val="auto"/>
              </w:rPr>
            </w:pPr>
            <w:r>
              <w:rPr>
                <w:rFonts w:ascii="Arial" w:cs="Arial" w:eastAsia="Arial" w:hAnsi="Arial"/>
                <w:sz w:val="16"/>
                <w:szCs w:val="16"/>
                <w:color w:val="auto"/>
              </w:rPr>
              <w:t>361</w:t>
            </w:r>
          </w:p>
        </w:tc>
        <w:tc>
          <w:tcPr>
            <w:tcW w:w="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83</w:t>
            </w:r>
          </w:p>
        </w:tc>
        <w:tc>
          <w:tcPr>
            <w:tcW w:w="340" w:type="dxa"/>
            <w:vAlign w:val="bottom"/>
            <w:gridSpan w:val="3"/>
          </w:tcPr>
          <w:p>
            <w:pPr>
              <w:jc w:val="right"/>
              <w:ind w:right="68"/>
              <w:spacing w:after="0"/>
              <w:rPr>
                <w:sz w:val="20"/>
                <w:szCs w:val="20"/>
                <w:color w:val="auto"/>
              </w:rPr>
            </w:pPr>
            <w:r>
              <w:rPr>
                <w:rFonts w:ascii="Arial" w:cs="Arial" w:eastAsia="Arial" w:hAnsi="Arial"/>
                <w:sz w:val="16"/>
                <w:szCs w:val="16"/>
                <w:color w:val="auto"/>
              </w:rPr>
              <w:t>$</w:t>
            </w:r>
          </w:p>
        </w:tc>
        <w:tc>
          <w:tcPr>
            <w:tcW w:w="560" w:type="dxa"/>
            <w:vAlign w:val="bottom"/>
          </w:tcPr>
          <w:p>
            <w:pPr>
              <w:jc w:val="right"/>
              <w:spacing w:after="0"/>
              <w:rPr>
                <w:sz w:val="20"/>
                <w:szCs w:val="20"/>
                <w:color w:val="auto"/>
              </w:rPr>
            </w:pPr>
            <w:r>
              <w:rPr>
                <w:rFonts w:ascii="Arial" w:cs="Arial" w:eastAsia="Arial" w:hAnsi="Arial"/>
                <w:sz w:val="16"/>
                <w:szCs w:val="16"/>
                <w:color w:val="auto"/>
              </w:rPr>
              <w:t>3,346</w:t>
            </w: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825</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ind w:left="560"/>
              <w:spacing w:after="0"/>
              <w:rPr>
                <w:sz w:val="20"/>
                <w:szCs w:val="20"/>
                <w:color w:val="auto"/>
              </w:rPr>
            </w:pPr>
            <w:r>
              <w:rPr>
                <w:rFonts w:ascii="Arial" w:cs="Arial" w:eastAsia="Arial" w:hAnsi="Arial"/>
                <w:sz w:val="16"/>
                <w:szCs w:val="16"/>
                <w:color w:val="auto"/>
                <w:w w:val="96"/>
              </w:rPr>
              <w:t>(825)</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3,346</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84" w:lineRule="exact"/>
        <w:rPr>
          <w:sz w:val="20"/>
          <w:szCs w:val="20"/>
          <w:color w:val="auto"/>
        </w:rPr>
      </w:pPr>
    </w:p>
    <w:p>
      <w:pPr>
        <w:ind w:left="320" w:hanging="231"/>
        <w:spacing w:after="0"/>
        <w:tabs>
          <w:tab w:leader="none" w:pos="320" w:val="left"/>
        </w:tabs>
        <w:numPr>
          <w:ilvl w:val="0"/>
          <w:numId w:val="4"/>
        </w:numPr>
        <w:rPr>
          <w:rFonts w:ascii="Arial" w:cs="Arial" w:eastAsia="Arial" w:hAnsi="Arial"/>
          <w:sz w:val="14"/>
          <w:szCs w:val="14"/>
          <w:i w:val="1"/>
          <w:iCs w:val="1"/>
          <w:color w:val="auto"/>
        </w:rPr>
      </w:pPr>
      <w:r>
        <w:rPr>
          <w:rFonts w:ascii="Arial" w:cs="Arial" w:eastAsia="Arial" w:hAnsi="Arial"/>
          <w:sz w:val="14"/>
          <w:szCs w:val="14"/>
          <w:i w:val="1"/>
          <w:iCs w:val="1"/>
          <w:color w:val="auto"/>
        </w:rPr>
        <w:t>Other includes our interests in Denmark and Libya.</w:t>
      </w:r>
    </w:p>
    <w:p>
      <w:pPr>
        <w:spacing w:after="0" w:line="13" w:lineRule="exact"/>
        <w:rPr>
          <w:rFonts w:ascii="Arial" w:cs="Arial" w:eastAsia="Arial" w:hAnsi="Arial"/>
          <w:sz w:val="14"/>
          <w:szCs w:val="14"/>
          <w:i w:val="1"/>
          <w:iCs w:val="1"/>
          <w:color w:val="auto"/>
        </w:rPr>
      </w:pPr>
    </w:p>
    <w:p>
      <w:pPr>
        <w:ind w:left="320" w:hanging="231"/>
        <w:spacing w:after="0"/>
        <w:tabs>
          <w:tab w:leader="none" w:pos="320" w:val="left"/>
        </w:tabs>
        <w:numPr>
          <w:ilvl w:val="0"/>
          <w:numId w:val="4"/>
        </w:numPr>
        <w:rPr>
          <w:rFonts w:ascii="Arial" w:cs="Arial" w:eastAsia="Arial" w:hAnsi="Arial"/>
          <w:sz w:val="14"/>
          <w:szCs w:val="14"/>
          <w:i w:val="1"/>
          <w:iCs w:val="1"/>
          <w:color w:val="auto"/>
        </w:rPr>
      </w:pPr>
      <w:r>
        <w:rPr>
          <w:rFonts w:ascii="Arial" w:cs="Arial" w:eastAsia="Arial" w:hAnsi="Arial"/>
          <w:sz w:val="14"/>
          <w:szCs w:val="14"/>
          <w:i w:val="1"/>
          <w:iCs w:val="1"/>
          <w:color w:val="auto"/>
        </w:rPr>
        <w:t>Includes gains (losses) on commodity derivatives.</w:t>
      </w:r>
    </w:p>
    <w:p>
      <w:pPr>
        <w:spacing w:after="0" w:line="101"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There have been no significant changes to contracts with customers or composition thereof during the nine months ended September 30, 2021. Generally, we receive payments from customers on a monthly basis, shortly after the physical delivery of the crude oil, natural gas liquids, or natural gas.</w:t>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107315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10" w:name="page11"/>
    <w:bookmarkEnd w:id="10"/>
    <w:p>
      <w:pPr>
        <w:ind w:left="360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117" w:lineRule="exact"/>
        <w:rPr>
          <w:sz w:val="20"/>
          <w:szCs w:val="20"/>
          <w:color w:val="auto"/>
        </w:rPr>
      </w:pPr>
    </w:p>
    <w:p>
      <w:pPr>
        <w:ind w:left="308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Impairment and Other</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In June 2021, the U.S. Bankruptcy Court approved the bankruptcy plan for Fieldwood Energy LLC (Fieldwood) which includes transferring abandonment obligations of Fieldwood to predecessors in title of certain of its assets, who are jointly and severally liable for the obligations. The results for the nine months ended September 30, 2021 include a charge of $147 million ($147 million after income taxes) in connection with total estimated abandonment obligations in the West Delta 79/86 Field (West Delta Field), which we sold to a Fieldwood predecessor in 2004. See </w:t>
      </w:r>
      <w:r>
        <w:rPr>
          <w:rFonts w:ascii="Arial" w:cs="Arial" w:eastAsia="Arial" w:hAnsi="Arial"/>
          <w:sz w:val="18"/>
          <w:szCs w:val="18"/>
          <w:i w:val="1"/>
          <w:iCs w:val="1"/>
          <w:color w:val="auto"/>
        </w:rPr>
        <w:t>Note 11</w:t>
      </w:r>
      <w:r>
        <w:rPr>
          <w:rFonts w:ascii="Arial" w:cs="Arial" w:eastAsia="Arial" w:hAnsi="Arial"/>
          <w:sz w:val="18"/>
          <w:szCs w:val="18"/>
          <w:color w:val="auto"/>
        </w:rPr>
        <w:t xml:space="preserve">, </w:t>
      </w:r>
      <w:r>
        <w:rPr>
          <w:rFonts w:ascii="Arial" w:cs="Arial" w:eastAsia="Arial" w:hAnsi="Arial"/>
          <w:sz w:val="18"/>
          <w:szCs w:val="18"/>
          <w:i w:val="1"/>
          <w:iCs w:val="1"/>
          <w:color w:val="auto"/>
        </w:rPr>
        <w:t>Guarantees and</w:t>
      </w:r>
      <w:r>
        <w:rPr>
          <w:rFonts w:ascii="Arial" w:cs="Arial" w:eastAsia="Arial" w:hAnsi="Arial"/>
          <w:sz w:val="18"/>
          <w:szCs w:val="18"/>
          <w:color w:val="auto"/>
        </w:rPr>
        <w:t xml:space="preserve"> </w:t>
      </w:r>
      <w:r>
        <w:rPr>
          <w:rFonts w:ascii="Arial" w:cs="Arial" w:eastAsia="Arial" w:hAnsi="Arial"/>
          <w:sz w:val="18"/>
          <w:szCs w:val="18"/>
          <w:i w:val="1"/>
          <w:iCs w:val="1"/>
          <w:color w:val="auto"/>
        </w:rPr>
        <w:t>Contingencies</w:t>
      </w:r>
      <w:r>
        <w:rPr>
          <w:rFonts w:ascii="Arial" w:cs="Arial" w:eastAsia="Arial" w:hAnsi="Arial"/>
          <w:sz w:val="18"/>
          <w:szCs w:val="18"/>
          <w:color w:val="auto"/>
        </w:rPr>
        <w:t>.</w:t>
      </w:r>
    </w:p>
    <w:p>
      <w:pPr>
        <w:spacing w:after="0" w:line="8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First quarter 2020 results include noncash impairment charges totaling $2.1 billion ($2.0 billion after income taxes) related to our oil and gas properties at North Malay Basin in Malaysia, the South Arne Field in Denmark, and the Stampede and Tubular Bells fields in the Gulf of Mexico, primarily as a result of a lower long-term crude oil price outlook. Other charges totaling $21 million pre-tax ($20 million after income taxes) related to drilling rig right-of-use assets in the Bakken and surplus materials and supplies.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Retirement Plans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Components of net periodic pension cost consisted of the following:</w:t>
      </w:r>
    </w:p>
    <w:p>
      <w:pPr>
        <w:spacing w:after="0" w:line="119"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200" w:type="dxa"/>
            <w:vAlign w:val="bottom"/>
          </w:tcPr>
          <w:p>
            <w:pPr>
              <w:spacing w:after="0"/>
              <w:rPr>
                <w:sz w:val="14"/>
                <w:szCs w:val="14"/>
                <w:color w:val="auto"/>
              </w:rPr>
            </w:pPr>
          </w:p>
        </w:tc>
        <w:tc>
          <w:tcPr>
            <w:tcW w:w="2080" w:type="dxa"/>
            <w:vAlign w:val="bottom"/>
            <w:gridSpan w:val="4"/>
          </w:tcPr>
          <w:p>
            <w:pPr>
              <w:jc w:val="right"/>
              <w:ind w:right="102"/>
              <w:spacing w:after="0"/>
              <w:rPr>
                <w:sz w:val="20"/>
                <w:szCs w:val="20"/>
                <w:color w:val="auto"/>
              </w:rPr>
            </w:pPr>
            <w:r>
              <w:rPr>
                <w:rFonts w:ascii="Arial" w:cs="Arial" w:eastAsia="Arial" w:hAnsi="Arial"/>
                <w:sz w:val="14"/>
                <w:szCs w:val="14"/>
                <w:b w:val="1"/>
                <w:bCs w:val="1"/>
                <w:color w:val="auto"/>
              </w:rPr>
              <w:t>Three Months Ended</w:t>
            </w:r>
          </w:p>
        </w:tc>
        <w:tc>
          <w:tcPr>
            <w:tcW w:w="4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40" w:type="dxa"/>
            <w:vAlign w:val="bottom"/>
            <w:gridSpan w:val="4"/>
          </w:tcPr>
          <w:p>
            <w:pPr>
              <w:jc w:val="right"/>
              <w:ind w:right="122"/>
              <w:spacing w:after="0"/>
              <w:rPr>
                <w:sz w:val="20"/>
                <w:szCs w:val="20"/>
                <w:color w:val="auto"/>
              </w:rPr>
            </w:pPr>
            <w:r>
              <w:rPr>
                <w:rFonts w:ascii="Arial" w:cs="Arial" w:eastAsia="Arial" w:hAnsi="Arial"/>
                <w:sz w:val="14"/>
                <w:szCs w:val="14"/>
                <w:b w:val="1"/>
                <w:bCs w:val="1"/>
                <w:color w:val="auto"/>
              </w:rPr>
              <w:t>Nine Months Ended</w:t>
            </w:r>
          </w:p>
        </w:tc>
        <w:tc>
          <w:tcPr>
            <w:tcW w:w="420" w:type="dxa"/>
            <w:vAlign w:val="bottom"/>
          </w:tcPr>
          <w:p>
            <w:pPr>
              <w:spacing w:after="0"/>
              <w:rPr>
                <w:sz w:val="14"/>
                <w:szCs w:val="14"/>
                <w:color w:val="auto"/>
              </w:rPr>
            </w:pPr>
          </w:p>
        </w:tc>
      </w:tr>
      <w:tr>
        <w:trPr>
          <w:trHeight w:val="188"/>
        </w:trPr>
        <w:tc>
          <w:tcPr>
            <w:tcW w:w="620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3"/>
          </w:tcPr>
          <w:p>
            <w:pPr>
              <w:jc w:val="right"/>
              <w:ind w:right="322"/>
              <w:spacing w:after="0"/>
              <w:rPr>
                <w:sz w:val="20"/>
                <w:szCs w:val="20"/>
                <w:color w:val="auto"/>
              </w:rPr>
            </w:pPr>
            <w:r>
              <w:rPr>
                <w:rFonts w:ascii="Arial" w:cs="Arial" w:eastAsia="Arial" w:hAnsi="Arial"/>
                <w:sz w:val="14"/>
                <w:szCs w:val="14"/>
                <w:b w:val="1"/>
                <w:bCs w:val="1"/>
                <w:color w:val="auto"/>
                <w:w w:val="93"/>
              </w:rPr>
              <w:t>September 30,</w:t>
            </w:r>
          </w:p>
        </w:tc>
        <w:tc>
          <w:tcPr>
            <w:tcW w:w="40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3"/>
          </w:tcPr>
          <w:p>
            <w:pPr>
              <w:jc w:val="right"/>
              <w:ind w:right="282"/>
              <w:spacing w:after="0"/>
              <w:rPr>
                <w:sz w:val="20"/>
                <w:szCs w:val="20"/>
                <w:color w:val="auto"/>
              </w:rPr>
            </w:pPr>
            <w:r>
              <w:rPr>
                <w:rFonts w:ascii="Arial" w:cs="Arial" w:eastAsia="Arial" w:hAnsi="Arial"/>
                <w:sz w:val="14"/>
                <w:szCs w:val="14"/>
                <w:b w:val="1"/>
                <w:bCs w:val="1"/>
                <w:color w:val="auto"/>
                <w:w w:val="93"/>
              </w:rPr>
              <w:t>September 30,</w:t>
            </w:r>
          </w:p>
        </w:tc>
        <w:tc>
          <w:tcPr>
            <w:tcW w:w="420" w:type="dxa"/>
            <w:vAlign w:val="bottom"/>
            <w:tcBorders>
              <w:bottom w:val="single" w:sz="8" w:color="auto"/>
            </w:tcBorders>
          </w:tcPr>
          <w:p>
            <w:pPr>
              <w:spacing w:after="0"/>
              <w:rPr>
                <w:sz w:val="16"/>
                <w:szCs w:val="16"/>
                <w:color w:val="auto"/>
              </w:rPr>
            </w:pPr>
          </w:p>
        </w:tc>
      </w:tr>
      <w:tr>
        <w:trPr>
          <w:trHeight w:val="205"/>
        </w:trPr>
        <w:tc>
          <w:tcPr>
            <w:tcW w:w="6200" w:type="dxa"/>
            <w:vAlign w:val="bottom"/>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00" w:type="dxa"/>
            <w:vAlign w:val="bottom"/>
            <w:tcBorders>
              <w:bottom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40" w:type="dxa"/>
            <w:vAlign w:val="bottom"/>
            <w:tcBorders>
              <w:bottom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20" w:type="dxa"/>
            <w:vAlign w:val="bottom"/>
            <w:tcBorders>
              <w:bottom w:val="single" w:sz="8" w:color="auto"/>
            </w:tcBorders>
          </w:tcPr>
          <w:p>
            <w:pPr>
              <w:spacing w:after="0"/>
              <w:rPr>
                <w:sz w:val="17"/>
                <w:szCs w:val="17"/>
                <w:color w:val="auto"/>
              </w:rPr>
            </w:pPr>
          </w:p>
        </w:tc>
      </w:tr>
      <w:tr>
        <w:trPr>
          <w:trHeight w:val="258"/>
        </w:trPr>
        <w:tc>
          <w:tcPr>
            <w:tcW w:w="62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1240" w:type="dxa"/>
            <w:vAlign w:val="bottom"/>
            <w:gridSpan w:val="3"/>
          </w:tcPr>
          <w:p>
            <w:pPr>
              <w:jc w:val="right"/>
              <w:ind w:right="364"/>
              <w:spacing w:after="0"/>
              <w:rPr>
                <w:sz w:val="20"/>
                <w:szCs w:val="20"/>
                <w:color w:val="auto"/>
              </w:rPr>
            </w:pPr>
            <w:r>
              <w:rPr>
                <w:rFonts w:ascii="Arial" w:cs="Arial" w:eastAsia="Arial" w:hAnsi="Arial"/>
                <w:sz w:val="14"/>
                <w:szCs w:val="14"/>
                <w:b w:val="1"/>
                <w:bCs w:val="1"/>
                <w:color w:val="auto"/>
                <w:w w:val="99"/>
              </w:rPr>
              <w:t>(In millions)</w:t>
            </w:r>
          </w:p>
        </w:tc>
        <w:tc>
          <w:tcPr>
            <w:tcW w:w="4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20" w:type="dxa"/>
            <w:vAlign w:val="bottom"/>
          </w:tcPr>
          <w:p>
            <w:pPr>
              <w:spacing w:after="0"/>
              <w:rPr>
                <w:sz w:val="22"/>
                <w:szCs w:val="22"/>
                <w:color w:val="auto"/>
              </w:rPr>
            </w:pPr>
          </w:p>
        </w:tc>
      </w:tr>
      <w:tr>
        <w:trPr>
          <w:trHeight w:val="222"/>
        </w:trPr>
        <w:tc>
          <w:tcPr>
            <w:tcW w:w="6200" w:type="dxa"/>
            <w:vAlign w:val="bottom"/>
          </w:tcPr>
          <w:p>
            <w:pPr>
              <w:spacing w:after="0"/>
              <w:rPr>
                <w:sz w:val="20"/>
                <w:szCs w:val="20"/>
                <w:color w:val="auto"/>
              </w:rPr>
            </w:pPr>
            <w:r>
              <w:rPr>
                <w:rFonts w:ascii="Arial" w:cs="Arial" w:eastAsia="Arial" w:hAnsi="Arial"/>
                <w:sz w:val="16"/>
                <w:szCs w:val="16"/>
                <w:color w:val="auto"/>
              </w:rPr>
              <w:t>Service cost</w:t>
            </w:r>
          </w:p>
        </w:tc>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13</w:t>
            </w:r>
          </w:p>
        </w:tc>
        <w:tc>
          <w:tcPr>
            <w:tcW w:w="120" w:type="dxa"/>
            <w:vAlign w:val="bottom"/>
          </w:tcPr>
          <w:p>
            <w:pPr>
              <w:spacing w:after="0"/>
              <w:rPr>
                <w:sz w:val="19"/>
                <w:szCs w:val="19"/>
                <w:color w:val="auto"/>
              </w:rPr>
            </w:pPr>
          </w:p>
        </w:tc>
        <w:tc>
          <w:tcPr>
            <w:tcW w:w="780" w:type="dxa"/>
            <w:vAlign w:val="bottom"/>
          </w:tcPr>
          <w:p>
            <w:pPr>
              <w:jc w:val="right"/>
              <w:ind w:right="602"/>
              <w:spacing w:after="0"/>
              <w:rPr>
                <w:sz w:val="20"/>
                <w:szCs w:val="20"/>
                <w:color w:val="auto"/>
              </w:rPr>
            </w:pPr>
            <w:r>
              <w:rPr>
                <w:rFonts w:ascii="Arial" w:cs="Arial" w:eastAsia="Arial" w:hAnsi="Arial"/>
                <w:sz w:val="16"/>
                <w:szCs w:val="16"/>
                <w:color w:val="auto"/>
                <w:w w:val="89"/>
              </w:rPr>
              <w:t>$</w:t>
            </w:r>
          </w:p>
        </w:tc>
        <w:tc>
          <w:tcPr>
            <w:tcW w:w="400" w:type="dxa"/>
            <w:vAlign w:val="bottom"/>
          </w:tcPr>
          <w:p>
            <w:pPr>
              <w:jc w:val="right"/>
              <w:spacing w:after="0"/>
              <w:rPr>
                <w:sz w:val="20"/>
                <w:szCs w:val="20"/>
                <w:color w:val="auto"/>
              </w:rPr>
            </w:pPr>
            <w:r>
              <w:rPr>
                <w:rFonts w:ascii="Arial" w:cs="Arial" w:eastAsia="Arial" w:hAnsi="Arial"/>
                <w:sz w:val="16"/>
                <w:szCs w:val="16"/>
                <w:color w:val="auto"/>
              </w:rPr>
              <w:t>14</w:t>
            </w:r>
          </w:p>
        </w:tc>
        <w:tc>
          <w:tcPr>
            <w:tcW w:w="80" w:type="dxa"/>
            <w:vAlign w:val="bottom"/>
          </w:tcPr>
          <w:p>
            <w:pPr>
              <w:spacing w:after="0"/>
              <w:rPr>
                <w:sz w:val="19"/>
                <w:szCs w:val="19"/>
                <w:color w:val="auto"/>
              </w:rPr>
            </w:pPr>
          </w:p>
        </w:tc>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rPr>
              <w:t>40</w:t>
            </w:r>
          </w:p>
        </w:tc>
        <w:tc>
          <w:tcPr>
            <w:tcW w:w="80" w:type="dxa"/>
            <w:vAlign w:val="bottom"/>
          </w:tcPr>
          <w:p>
            <w:pPr>
              <w:spacing w:after="0"/>
              <w:rPr>
                <w:sz w:val="19"/>
                <w:szCs w:val="19"/>
                <w:color w:val="auto"/>
              </w:rPr>
            </w:pPr>
          </w:p>
        </w:tc>
        <w:tc>
          <w:tcPr>
            <w:tcW w:w="760" w:type="dxa"/>
            <w:vAlign w:val="bottom"/>
          </w:tcPr>
          <w:p>
            <w:pPr>
              <w:jc w:val="right"/>
              <w:ind w:right="582"/>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42</w:t>
            </w:r>
          </w:p>
        </w:tc>
      </w:tr>
      <w:tr>
        <w:trPr>
          <w:trHeight w:val="216"/>
        </w:trPr>
        <w:tc>
          <w:tcPr>
            <w:tcW w:w="6200" w:type="dxa"/>
            <w:vAlign w:val="bottom"/>
          </w:tcPr>
          <w:p>
            <w:pPr>
              <w:spacing w:after="0"/>
              <w:rPr>
                <w:sz w:val="20"/>
                <w:szCs w:val="20"/>
                <w:color w:val="auto"/>
              </w:rPr>
            </w:pPr>
            <w:r>
              <w:rPr>
                <w:rFonts w:ascii="Arial" w:cs="Arial" w:eastAsia="Arial" w:hAnsi="Arial"/>
                <w:sz w:val="16"/>
                <w:szCs w:val="16"/>
                <w:color w:val="auto"/>
              </w:rPr>
              <w:t>Interest cost (a)</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14</w:t>
            </w: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6"/>
                <w:szCs w:val="16"/>
                <w:color w:val="auto"/>
              </w:rPr>
              <w:t>19</w:t>
            </w: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42</w:t>
            </w: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56</w:t>
            </w:r>
          </w:p>
        </w:tc>
      </w:tr>
      <w:tr>
        <w:trPr>
          <w:trHeight w:val="216"/>
        </w:trPr>
        <w:tc>
          <w:tcPr>
            <w:tcW w:w="6200" w:type="dxa"/>
            <w:vAlign w:val="bottom"/>
          </w:tcPr>
          <w:p>
            <w:pPr>
              <w:spacing w:after="0"/>
              <w:rPr>
                <w:sz w:val="20"/>
                <w:szCs w:val="20"/>
                <w:color w:val="auto"/>
              </w:rPr>
            </w:pPr>
            <w:r>
              <w:rPr>
                <w:rFonts w:ascii="Arial" w:cs="Arial" w:eastAsia="Arial" w:hAnsi="Arial"/>
                <w:sz w:val="16"/>
                <w:szCs w:val="16"/>
                <w:color w:val="auto"/>
              </w:rPr>
              <w:t>Expected return on plan assets (a)</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(49)</w:t>
            </w: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6"/>
                <w:szCs w:val="16"/>
                <w:color w:val="auto"/>
              </w:rPr>
              <w:t>(45)</w:t>
            </w: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(148)</w:t>
            </w: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(135)</w:t>
            </w:r>
          </w:p>
        </w:tc>
      </w:tr>
      <w:tr>
        <w:trPr>
          <w:trHeight w:val="216"/>
        </w:trPr>
        <w:tc>
          <w:tcPr>
            <w:tcW w:w="6200" w:type="dxa"/>
            <w:vAlign w:val="bottom"/>
          </w:tcPr>
          <w:p>
            <w:pPr>
              <w:spacing w:after="0"/>
              <w:rPr>
                <w:sz w:val="20"/>
                <w:szCs w:val="20"/>
                <w:color w:val="auto"/>
              </w:rPr>
            </w:pPr>
            <w:r>
              <w:rPr>
                <w:rFonts w:ascii="Arial" w:cs="Arial" w:eastAsia="Arial" w:hAnsi="Arial"/>
                <w:sz w:val="16"/>
                <w:szCs w:val="16"/>
                <w:color w:val="auto"/>
              </w:rPr>
              <w:t>Amortization of unrecognized net actuarial losses (a)</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15</w:t>
            </w: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6"/>
                <w:szCs w:val="16"/>
                <w:color w:val="auto"/>
              </w:rPr>
              <w:t>11</w:t>
            </w: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43</w:t>
            </w: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35</w:t>
            </w:r>
          </w:p>
        </w:tc>
      </w:tr>
      <w:tr>
        <w:trPr>
          <w:trHeight w:val="219"/>
        </w:trPr>
        <w:tc>
          <w:tcPr>
            <w:tcW w:w="6200" w:type="dxa"/>
            <w:vAlign w:val="bottom"/>
          </w:tcPr>
          <w:p>
            <w:pPr>
              <w:spacing w:after="0"/>
              <w:rPr>
                <w:sz w:val="20"/>
                <w:szCs w:val="20"/>
                <w:color w:val="auto"/>
              </w:rPr>
            </w:pPr>
            <w:r>
              <w:rPr>
                <w:rFonts w:ascii="Arial" w:cs="Arial" w:eastAsia="Arial" w:hAnsi="Arial"/>
                <w:sz w:val="16"/>
                <w:szCs w:val="16"/>
                <w:color w:val="auto"/>
              </w:rPr>
              <w:t>Settlement loss (a)</w:t>
            </w:r>
          </w:p>
        </w:tc>
        <w:tc>
          <w:tcPr>
            <w:tcW w:w="76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76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5</w:t>
            </w:r>
          </w:p>
        </w:tc>
        <w:tc>
          <w:tcPr>
            <w:tcW w:w="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2"/>
        </w:trPr>
        <w:tc>
          <w:tcPr>
            <w:tcW w:w="6200" w:type="dxa"/>
            <w:vAlign w:val="bottom"/>
          </w:tcPr>
          <w:p>
            <w:pPr>
              <w:ind w:left="120"/>
              <w:spacing w:after="0"/>
              <w:rPr>
                <w:sz w:val="20"/>
                <w:szCs w:val="20"/>
                <w:color w:val="auto"/>
              </w:rPr>
            </w:pPr>
            <w:r>
              <w:rPr>
                <w:rFonts w:ascii="Arial" w:cs="Arial" w:eastAsia="Arial" w:hAnsi="Arial"/>
                <w:sz w:val="16"/>
                <w:szCs w:val="16"/>
                <w:color w:val="auto"/>
              </w:rPr>
              <w:t>Pension (income) expense (a)</w:t>
            </w:r>
          </w:p>
        </w:tc>
        <w:tc>
          <w:tcPr>
            <w:tcW w:w="760" w:type="dxa"/>
            <w:vAlign w:val="bottom"/>
            <w:tcBorders>
              <w:top w:val="single" w:sz="8" w:color="auto"/>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w:t>
            </w:r>
          </w:p>
        </w:tc>
        <w:tc>
          <w:tcPr>
            <w:tcW w:w="120" w:type="dxa"/>
            <w:vAlign w:val="bottom"/>
          </w:tcPr>
          <w:p>
            <w:pPr>
              <w:spacing w:after="0"/>
              <w:rPr>
                <w:sz w:val="18"/>
                <w:szCs w:val="18"/>
                <w:color w:val="auto"/>
              </w:rPr>
            </w:pPr>
          </w:p>
        </w:tc>
        <w:tc>
          <w:tcPr>
            <w:tcW w:w="780" w:type="dxa"/>
            <w:vAlign w:val="bottom"/>
            <w:tcBorders>
              <w:top w:val="single" w:sz="8" w:color="auto"/>
              <w:bottom w:val="single" w:sz="8" w:color="auto"/>
            </w:tcBorders>
          </w:tcPr>
          <w:p>
            <w:pPr>
              <w:jc w:val="right"/>
              <w:ind w:right="602"/>
              <w:spacing w:after="0"/>
              <w:rPr>
                <w:sz w:val="20"/>
                <w:szCs w:val="20"/>
                <w:color w:val="auto"/>
              </w:rPr>
            </w:pPr>
            <w:r>
              <w:rPr>
                <w:rFonts w:ascii="Arial" w:cs="Arial" w:eastAsia="Arial" w:hAnsi="Arial"/>
                <w:sz w:val="16"/>
                <w:szCs w:val="16"/>
                <w:color w:val="auto"/>
                <w:w w:val="89"/>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8"/>
                <w:szCs w:val="18"/>
                <w:color w:val="auto"/>
              </w:rPr>
            </w:pPr>
          </w:p>
        </w:tc>
        <w:tc>
          <w:tcPr>
            <w:tcW w:w="760" w:type="dxa"/>
            <w:vAlign w:val="bottom"/>
            <w:tcBorders>
              <w:top w:val="single" w:sz="8" w:color="auto"/>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(18)</w:t>
            </w:r>
          </w:p>
        </w:tc>
        <w:tc>
          <w:tcPr>
            <w:tcW w:w="80" w:type="dxa"/>
            <w:vAlign w:val="bottom"/>
          </w:tcPr>
          <w:p>
            <w:pPr>
              <w:spacing w:after="0"/>
              <w:rPr>
                <w:sz w:val="18"/>
                <w:szCs w:val="18"/>
                <w:color w:val="auto"/>
              </w:rPr>
            </w:pPr>
          </w:p>
        </w:tc>
        <w:tc>
          <w:tcPr>
            <w:tcW w:w="760" w:type="dxa"/>
            <w:vAlign w:val="bottom"/>
            <w:tcBorders>
              <w:top w:val="single" w:sz="8" w:color="auto"/>
              <w:bottom w:val="single" w:sz="8" w:color="auto"/>
            </w:tcBorders>
          </w:tcPr>
          <w:p>
            <w:pPr>
              <w:jc w:val="right"/>
              <w:ind w:right="582"/>
              <w:spacing w:after="0"/>
              <w:rPr>
                <w:sz w:val="20"/>
                <w:szCs w:val="20"/>
                <w:color w:val="auto"/>
              </w:rPr>
            </w:pPr>
            <w:r>
              <w:rPr>
                <w:rFonts w:ascii="Arial" w:cs="Arial" w:eastAsia="Arial" w:hAnsi="Arial"/>
                <w:sz w:val="16"/>
                <w:szCs w:val="16"/>
                <w:color w:val="auto"/>
                <w:w w:val="89"/>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w:t>
            </w:r>
          </w:p>
        </w:tc>
      </w:tr>
      <w:tr>
        <w:trPr>
          <w:trHeight w:val="21"/>
        </w:trPr>
        <w:tc>
          <w:tcPr>
            <w:tcW w:w="62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r>
    </w:tbl>
    <w:p>
      <w:pPr>
        <w:spacing w:after="0" w:line="180" w:lineRule="exact"/>
        <w:rPr>
          <w:sz w:val="20"/>
          <w:szCs w:val="20"/>
          <w:color w:val="auto"/>
        </w:rPr>
      </w:pPr>
    </w:p>
    <w:p>
      <w:pPr>
        <w:ind w:left="340" w:hanging="242"/>
        <w:spacing w:after="0" w:line="273" w:lineRule="auto"/>
        <w:tabs>
          <w:tab w:leader="none" w:pos="320" w:val="left"/>
        </w:tabs>
        <w:rPr>
          <w:sz w:val="20"/>
          <w:szCs w:val="20"/>
          <w:color w:val="auto"/>
        </w:rPr>
      </w:pPr>
      <w:r>
        <w:rPr>
          <w:rFonts w:ascii="Arial" w:cs="Arial" w:eastAsia="Arial" w:hAnsi="Arial"/>
          <w:sz w:val="14"/>
          <w:szCs w:val="14"/>
          <w:i w:val="1"/>
          <w:iCs w:val="1"/>
          <w:color w:val="2E2E2E"/>
        </w:rPr>
        <w:t>(</w:t>
      </w:r>
      <w:r>
        <w:rPr>
          <w:rFonts w:ascii="Arial" w:cs="Arial" w:eastAsia="Arial" w:hAnsi="Arial"/>
          <w:sz w:val="14"/>
          <w:szCs w:val="14"/>
          <w:i w:val="1"/>
          <w:iCs w:val="1"/>
          <w:color w:val="000000"/>
        </w:rPr>
        <w:t>a)</w:t>
      </w:r>
      <w:r>
        <w:rPr>
          <w:sz w:val="20"/>
          <w:szCs w:val="20"/>
          <w:color w:val="auto"/>
        </w:rPr>
        <w:tab/>
      </w:r>
      <w:r>
        <w:rPr>
          <w:rFonts w:ascii="Arial" w:cs="Arial" w:eastAsia="Arial" w:hAnsi="Arial"/>
          <w:sz w:val="14"/>
          <w:szCs w:val="14"/>
          <w:i w:val="1"/>
          <w:iCs w:val="1"/>
          <w:color w:val="auto"/>
        </w:rPr>
        <w:t>Net non-service pension cost included in Other, net in the Statement of Consolidated Income for the three and nine months ended September 30, 2021 was income of $19 million and $58 million, respectively, compared with income of $15 million and $44 million for the three and nine months ended September 30, 2020, respectively.</w:t>
      </w:r>
    </w:p>
    <w:p>
      <w:pPr>
        <w:spacing w:after="0" w:line="74" w:lineRule="exact"/>
        <w:rPr>
          <w:sz w:val="20"/>
          <w:szCs w:val="20"/>
          <w:color w:val="auto"/>
        </w:rPr>
      </w:pPr>
    </w:p>
    <w:p>
      <w:pPr>
        <w:spacing w:after="0"/>
        <w:rPr>
          <w:sz w:val="20"/>
          <w:szCs w:val="20"/>
          <w:color w:val="auto"/>
        </w:rPr>
      </w:pPr>
      <w:r>
        <w:rPr>
          <w:rFonts w:ascii="Arial" w:cs="Arial" w:eastAsia="Arial" w:hAnsi="Arial"/>
          <w:sz w:val="18"/>
          <w:szCs w:val="18"/>
          <w:color w:val="auto"/>
        </w:rPr>
        <w:t>In 2021, we expect to contribute approximately $10 million to our funded pension plans.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Weighted Average Common Shares</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The Net income (loss) and weighted average number of common shares used in the basic and diluted earnings per share computations were as follows:</w:t>
      </w:r>
    </w:p>
    <w:p>
      <w:pPr>
        <w:spacing w:after="0" w:line="142"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180" w:type="dxa"/>
            <w:vAlign w:val="bottom"/>
          </w:tcPr>
          <w:p>
            <w:pPr>
              <w:spacing w:after="0"/>
              <w:rPr>
                <w:sz w:val="14"/>
                <w:szCs w:val="14"/>
                <w:color w:val="auto"/>
              </w:rPr>
            </w:pPr>
          </w:p>
        </w:tc>
        <w:tc>
          <w:tcPr>
            <w:tcW w:w="2040" w:type="dxa"/>
            <w:vAlign w:val="bottom"/>
            <w:gridSpan w:val="4"/>
          </w:tcPr>
          <w:p>
            <w:pPr>
              <w:jc w:val="right"/>
              <w:ind w:right="82"/>
              <w:spacing w:after="0"/>
              <w:rPr>
                <w:sz w:val="20"/>
                <w:szCs w:val="20"/>
                <w:color w:val="auto"/>
              </w:rPr>
            </w:pPr>
            <w:r>
              <w:rPr>
                <w:rFonts w:ascii="Arial" w:cs="Arial" w:eastAsia="Arial" w:hAnsi="Arial"/>
                <w:sz w:val="14"/>
                <w:szCs w:val="14"/>
                <w:b w:val="1"/>
                <w:bCs w:val="1"/>
                <w:color w:val="auto"/>
              </w:rPr>
              <w:t>Three Months Ended</w:t>
            </w: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100" w:type="dxa"/>
            <w:vAlign w:val="bottom"/>
            <w:gridSpan w:val="4"/>
          </w:tcPr>
          <w:p>
            <w:pPr>
              <w:jc w:val="right"/>
              <w:ind w:right="54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88"/>
        </w:trPr>
        <w:tc>
          <w:tcPr>
            <w:tcW w:w="6180" w:type="dxa"/>
            <w:vAlign w:val="bottom"/>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3"/>
          </w:tcPr>
          <w:p>
            <w:pPr>
              <w:jc w:val="right"/>
              <w:ind w:right="282"/>
              <w:spacing w:after="0"/>
              <w:rPr>
                <w:sz w:val="20"/>
                <w:szCs w:val="20"/>
                <w:color w:val="auto"/>
              </w:rPr>
            </w:pPr>
            <w:r>
              <w:rPr>
                <w:rFonts w:ascii="Arial" w:cs="Arial" w:eastAsia="Arial" w:hAnsi="Arial"/>
                <w:sz w:val="14"/>
                <w:szCs w:val="14"/>
                <w:b w:val="1"/>
                <w:bCs w:val="1"/>
                <w:color w:val="auto"/>
                <w:w w:val="96"/>
              </w:rPr>
              <w:t>September 30,</w:t>
            </w:r>
          </w:p>
        </w:tc>
        <w:tc>
          <w:tcPr>
            <w:tcW w:w="44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6180" w:type="dxa"/>
            <w:vAlign w:val="bottom"/>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4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4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361"/>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w w:val="96"/>
              </w:rPr>
              <w:t>2020</w:t>
            </w:r>
          </w:p>
        </w:tc>
        <w:tc>
          <w:tcPr>
            <w:tcW w:w="0" w:type="dxa"/>
            <w:vAlign w:val="bottom"/>
          </w:tcPr>
          <w:p>
            <w:pPr>
              <w:spacing w:after="0"/>
              <w:rPr>
                <w:sz w:val="1"/>
                <w:szCs w:val="1"/>
                <w:color w:val="auto"/>
              </w:rPr>
            </w:pPr>
          </w:p>
        </w:tc>
      </w:tr>
      <w:tr>
        <w:trPr>
          <w:trHeight w:val="212"/>
        </w:trPr>
        <w:tc>
          <w:tcPr>
            <w:tcW w:w="6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0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millions)</w:t>
            </w: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6180" w:type="dxa"/>
            <w:vAlign w:val="bottom"/>
          </w:tcPr>
          <w:p>
            <w:pPr>
              <w:spacing w:after="0"/>
              <w:rPr>
                <w:sz w:val="20"/>
                <w:szCs w:val="20"/>
                <w:color w:val="auto"/>
              </w:rPr>
            </w:pPr>
            <w:r>
              <w:rPr>
                <w:rFonts w:ascii="Arial" w:cs="Arial" w:eastAsia="Arial" w:hAnsi="Arial"/>
                <w:sz w:val="16"/>
                <w:szCs w:val="16"/>
                <w:b w:val="1"/>
                <w:bCs w:val="1"/>
                <w:color w:val="auto"/>
              </w:rPr>
              <w:t>Net income (loss) attributable to Hess Corporation:</w:t>
            </w:r>
          </w:p>
        </w:tc>
        <w:tc>
          <w:tcPr>
            <w:tcW w:w="7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180" w:type="dxa"/>
            <w:vAlign w:val="bottom"/>
          </w:tcPr>
          <w:p>
            <w:pPr>
              <w:ind w:left="120"/>
              <w:spacing w:after="0"/>
              <w:rPr>
                <w:sz w:val="20"/>
                <w:szCs w:val="20"/>
                <w:color w:val="auto"/>
              </w:rPr>
            </w:pPr>
            <w:r>
              <w:rPr>
                <w:rFonts w:ascii="Arial" w:cs="Arial" w:eastAsia="Arial" w:hAnsi="Arial"/>
                <w:sz w:val="16"/>
                <w:szCs w:val="16"/>
                <w:color w:val="auto"/>
              </w:rPr>
              <w:t>Net income (loss)</w:t>
            </w:r>
          </w:p>
        </w:tc>
        <w:tc>
          <w:tcPr>
            <w:tcW w:w="740" w:type="dxa"/>
            <w:vAlign w:val="bottom"/>
          </w:tcPr>
          <w:p>
            <w:pPr>
              <w:jc w:val="right"/>
              <w:ind w:right="564"/>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rPr>
              <w:t>185</w:t>
            </w:r>
          </w:p>
        </w:tc>
        <w:tc>
          <w:tcPr>
            <w:tcW w:w="100" w:type="dxa"/>
            <w:vAlign w:val="bottom"/>
          </w:tcPr>
          <w:p>
            <w:pPr>
              <w:spacing w:after="0"/>
              <w:rPr>
                <w:sz w:val="18"/>
                <w:szCs w:val="18"/>
                <w:color w:val="auto"/>
              </w:rPr>
            </w:pPr>
          </w:p>
        </w:tc>
        <w:tc>
          <w:tcPr>
            <w:tcW w:w="760" w:type="dxa"/>
            <w:vAlign w:val="bottom"/>
          </w:tcPr>
          <w:p>
            <w:pPr>
              <w:jc w:val="right"/>
              <w:ind w:right="58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rPr>
              <w:t>(183)</w:t>
            </w:r>
          </w:p>
        </w:tc>
        <w:tc>
          <w:tcPr>
            <w:tcW w:w="80" w:type="dxa"/>
            <w:vAlign w:val="bottom"/>
          </w:tcPr>
          <w:p>
            <w:pPr>
              <w:spacing w:after="0"/>
              <w:rPr>
                <w:sz w:val="18"/>
                <w:szCs w:val="18"/>
                <w:color w:val="auto"/>
              </w:rPr>
            </w:pPr>
          </w:p>
        </w:tc>
        <w:tc>
          <w:tcPr>
            <w:tcW w:w="380" w:type="dxa"/>
            <w:vAlign w:val="bottom"/>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534</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(2,812)</w:t>
            </w:r>
          </w:p>
        </w:tc>
        <w:tc>
          <w:tcPr>
            <w:tcW w:w="0" w:type="dxa"/>
            <w:vAlign w:val="bottom"/>
          </w:tcPr>
          <w:p>
            <w:pPr>
              <w:spacing w:after="0"/>
              <w:rPr>
                <w:sz w:val="1"/>
                <w:szCs w:val="1"/>
                <w:color w:val="auto"/>
              </w:rPr>
            </w:pPr>
          </w:p>
        </w:tc>
      </w:tr>
      <w:tr>
        <w:trPr>
          <w:trHeight w:val="219"/>
        </w:trPr>
        <w:tc>
          <w:tcPr>
            <w:tcW w:w="6180" w:type="dxa"/>
            <w:vAlign w:val="bottom"/>
          </w:tcPr>
          <w:p>
            <w:pPr>
              <w:ind w:left="200"/>
              <w:spacing w:after="0"/>
              <w:rPr>
                <w:sz w:val="20"/>
                <w:szCs w:val="20"/>
                <w:color w:val="auto"/>
              </w:rPr>
            </w:pPr>
            <w:r>
              <w:rPr>
                <w:rFonts w:ascii="Arial" w:cs="Arial" w:eastAsia="Arial" w:hAnsi="Arial"/>
                <w:sz w:val="16"/>
                <w:szCs w:val="16"/>
                <w:color w:val="auto"/>
              </w:rPr>
              <w:t>Less: Net income (loss) attributable to noncontrolling interests</w:t>
            </w:r>
          </w:p>
        </w:tc>
        <w:tc>
          <w:tcPr>
            <w:tcW w:w="74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70</w:t>
            </w:r>
          </w:p>
        </w:tc>
        <w:tc>
          <w:tcPr>
            <w:tcW w:w="100" w:type="dxa"/>
            <w:vAlign w:val="bottom"/>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60</w:t>
            </w:r>
          </w:p>
        </w:tc>
        <w:tc>
          <w:tcPr>
            <w:tcW w:w="8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240</w:t>
            </w:r>
          </w:p>
        </w:tc>
        <w:tc>
          <w:tcPr>
            <w:tcW w:w="1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184</w:t>
            </w:r>
          </w:p>
        </w:tc>
        <w:tc>
          <w:tcPr>
            <w:tcW w:w="0" w:type="dxa"/>
            <w:vAlign w:val="bottom"/>
          </w:tcPr>
          <w:p>
            <w:pPr>
              <w:spacing w:after="0"/>
              <w:rPr>
                <w:sz w:val="1"/>
                <w:szCs w:val="1"/>
                <w:color w:val="auto"/>
              </w:rPr>
            </w:pPr>
          </w:p>
        </w:tc>
      </w:tr>
      <w:tr>
        <w:trPr>
          <w:trHeight w:val="213"/>
        </w:trPr>
        <w:tc>
          <w:tcPr>
            <w:tcW w:w="6180" w:type="dxa"/>
            <w:vAlign w:val="bottom"/>
          </w:tcPr>
          <w:p>
            <w:pPr>
              <w:ind w:left="120"/>
              <w:spacing w:after="0"/>
              <w:rPr>
                <w:sz w:val="20"/>
                <w:szCs w:val="20"/>
                <w:color w:val="auto"/>
              </w:rPr>
            </w:pPr>
            <w:r>
              <w:rPr>
                <w:rFonts w:ascii="Arial" w:cs="Arial" w:eastAsia="Arial" w:hAnsi="Arial"/>
                <w:sz w:val="16"/>
                <w:szCs w:val="16"/>
                <w:color w:val="auto"/>
              </w:rPr>
              <w:t>Net income (loss) attributable to Hess Corporation</w:t>
            </w:r>
          </w:p>
        </w:tc>
        <w:tc>
          <w:tcPr>
            <w:tcW w:w="740" w:type="dxa"/>
            <w:vAlign w:val="bottom"/>
            <w:tcBorders>
              <w:bottom w:val="single" w:sz="8" w:color="auto"/>
            </w:tcBorders>
          </w:tcPr>
          <w:p>
            <w:pPr>
              <w:jc w:val="right"/>
              <w:ind w:right="564"/>
              <w:spacing w:after="0"/>
              <w:rPr>
                <w:sz w:val="20"/>
                <w:szCs w:val="20"/>
                <w:color w:val="auto"/>
              </w:rPr>
            </w:pPr>
            <w:r>
              <w:rPr>
                <w:rFonts w:ascii="Arial" w:cs="Arial" w:eastAsia="Arial" w:hAnsi="Arial"/>
                <w:sz w:val="16"/>
                <w:szCs w:val="16"/>
                <w:color w:val="auto"/>
                <w:w w:val="89"/>
              </w:rPr>
              <w:t>$</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115</w:t>
            </w:r>
          </w:p>
        </w:tc>
        <w:tc>
          <w:tcPr>
            <w:tcW w:w="100" w:type="dxa"/>
            <w:vAlign w:val="bottom"/>
          </w:tcPr>
          <w:p>
            <w:pPr>
              <w:spacing w:after="0"/>
              <w:rPr>
                <w:sz w:val="18"/>
                <w:szCs w:val="18"/>
                <w:color w:val="auto"/>
              </w:rPr>
            </w:pPr>
          </w:p>
        </w:tc>
        <w:tc>
          <w:tcPr>
            <w:tcW w:w="760" w:type="dxa"/>
            <w:vAlign w:val="bottom"/>
            <w:tcBorders>
              <w:bottom w:val="single" w:sz="8" w:color="auto"/>
            </w:tcBorders>
          </w:tcPr>
          <w:p>
            <w:pPr>
              <w:jc w:val="right"/>
              <w:ind w:right="582"/>
              <w:spacing w:after="0"/>
              <w:rPr>
                <w:sz w:val="20"/>
                <w:szCs w:val="20"/>
                <w:color w:val="auto"/>
              </w:rPr>
            </w:pPr>
            <w:r>
              <w:rPr>
                <w:rFonts w:ascii="Arial" w:cs="Arial" w:eastAsia="Arial" w:hAnsi="Arial"/>
                <w:sz w:val="16"/>
                <w:szCs w:val="16"/>
                <w:color w:val="auto"/>
                <w:w w:val="89"/>
              </w:rPr>
              <w:t>$</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(243)</w:t>
            </w:r>
          </w:p>
        </w:tc>
        <w:tc>
          <w:tcPr>
            <w:tcW w:w="80" w:type="dxa"/>
            <w:vAlign w:val="bottom"/>
          </w:tcPr>
          <w:p>
            <w:pPr>
              <w:spacing w:after="0"/>
              <w:rPr>
                <w:sz w:val="18"/>
                <w:szCs w:val="18"/>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294</w:t>
            </w:r>
          </w:p>
        </w:tc>
        <w:tc>
          <w:tcPr>
            <w:tcW w:w="120" w:type="dxa"/>
            <w:vAlign w:val="bottom"/>
          </w:tcPr>
          <w:p>
            <w:pPr>
              <w:spacing w:after="0"/>
              <w:rPr>
                <w:sz w:val="18"/>
                <w:szCs w:val="18"/>
                <w:color w:val="auto"/>
              </w:rPr>
            </w:pPr>
          </w:p>
        </w:tc>
        <w:tc>
          <w:tcPr>
            <w:tcW w:w="4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(2,996)</w:t>
            </w:r>
          </w:p>
        </w:tc>
        <w:tc>
          <w:tcPr>
            <w:tcW w:w="0" w:type="dxa"/>
            <w:vAlign w:val="bottom"/>
          </w:tcPr>
          <w:p>
            <w:pPr>
              <w:spacing w:after="0"/>
              <w:rPr>
                <w:sz w:val="1"/>
                <w:szCs w:val="1"/>
                <w:color w:val="auto"/>
              </w:rPr>
            </w:pPr>
          </w:p>
        </w:tc>
      </w:tr>
      <w:tr>
        <w:trPr>
          <w:trHeight w:val="21"/>
        </w:trPr>
        <w:tc>
          <w:tcPr>
            <w:tcW w:w="6180" w:type="dxa"/>
            <w:vAlign w:val="bottom"/>
            <w:vMerge w:val="restart"/>
          </w:tcPr>
          <w:p>
            <w:pPr>
              <w:spacing w:after="0"/>
              <w:rPr>
                <w:sz w:val="20"/>
                <w:szCs w:val="20"/>
                <w:color w:val="auto"/>
              </w:rPr>
            </w:pPr>
            <w:r>
              <w:rPr>
                <w:rFonts w:ascii="Arial" w:cs="Arial" w:eastAsia="Arial" w:hAnsi="Arial"/>
                <w:sz w:val="16"/>
                <w:szCs w:val="16"/>
                <w:b w:val="1"/>
                <w:bCs w:val="1"/>
                <w:color w:val="auto"/>
              </w:rPr>
              <w:t>Weighted average number of common shares outstanding:</w:t>
            </w:r>
          </w:p>
        </w:tc>
        <w:tc>
          <w:tcPr>
            <w:tcW w:w="7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6"/>
        </w:trPr>
        <w:tc>
          <w:tcPr>
            <w:tcW w:w="6180" w:type="dxa"/>
            <w:vAlign w:val="bottom"/>
            <w:vMerge w:val="continue"/>
          </w:tcPr>
          <w:p>
            <w:pPr>
              <w:spacing w:after="0"/>
              <w:rPr>
                <w:sz w:val="15"/>
                <w:szCs w:val="15"/>
                <w:color w:val="auto"/>
              </w:rPr>
            </w:pPr>
          </w:p>
        </w:tc>
        <w:tc>
          <w:tcPr>
            <w:tcW w:w="7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6180" w:type="dxa"/>
            <w:vAlign w:val="bottom"/>
          </w:tcPr>
          <w:p>
            <w:pPr>
              <w:ind w:left="120"/>
              <w:spacing w:after="0"/>
              <w:rPr>
                <w:sz w:val="20"/>
                <w:szCs w:val="20"/>
                <w:color w:val="auto"/>
              </w:rPr>
            </w:pPr>
            <w:r>
              <w:rPr>
                <w:rFonts w:ascii="Arial" w:cs="Arial" w:eastAsia="Arial" w:hAnsi="Arial"/>
                <w:sz w:val="16"/>
                <w:szCs w:val="16"/>
                <w:color w:val="auto"/>
              </w:rPr>
              <w:t>Basic</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308.1</w:t>
            </w: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4"/>
              </w:rPr>
              <w:t>305.0</w:t>
            </w: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307.1</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304.7</w:t>
            </w:r>
          </w:p>
        </w:tc>
        <w:tc>
          <w:tcPr>
            <w:tcW w:w="0" w:type="dxa"/>
            <w:vAlign w:val="bottom"/>
          </w:tcPr>
          <w:p>
            <w:pPr>
              <w:spacing w:after="0"/>
              <w:rPr>
                <w:sz w:val="1"/>
                <w:szCs w:val="1"/>
                <w:color w:val="auto"/>
              </w:rPr>
            </w:pPr>
          </w:p>
        </w:tc>
      </w:tr>
      <w:tr>
        <w:trPr>
          <w:trHeight w:val="216"/>
        </w:trPr>
        <w:tc>
          <w:tcPr>
            <w:tcW w:w="6180" w:type="dxa"/>
            <w:vAlign w:val="bottom"/>
          </w:tcPr>
          <w:p>
            <w:pPr>
              <w:ind w:left="120"/>
              <w:spacing w:after="0"/>
              <w:rPr>
                <w:sz w:val="20"/>
                <w:szCs w:val="20"/>
                <w:color w:val="auto"/>
              </w:rPr>
            </w:pPr>
            <w:r>
              <w:rPr>
                <w:rFonts w:ascii="Arial" w:cs="Arial" w:eastAsia="Arial" w:hAnsi="Arial"/>
                <w:sz w:val="16"/>
                <w:szCs w:val="16"/>
                <w:color w:val="auto"/>
              </w:rPr>
              <w:t>Effect of dilutive securities</w:t>
            </w: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80" w:type="dxa"/>
            <w:vAlign w:val="bottom"/>
          </w:tcPr>
          <w:p>
            <w:pPr>
              <w:ind w:left="200"/>
              <w:spacing w:after="0"/>
              <w:rPr>
                <w:sz w:val="20"/>
                <w:szCs w:val="20"/>
                <w:color w:val="auto"/>
              </w:rPr>
            </w:pPr>
            <w:r>
              <w:rPr>
                <w:rFonts w:ascii="Arial" w:cs="Arial" w:eastAsia="Arial" w:hAnsi="Arial"/>
                <w:sz w:val="16"/>
                <w:szCs w:val="16"/>
                <w:color w:val="auto"/>
              </w:rPr>
              <w:t>Restricted common stock</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0.6</w:t>
            </w: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0.6</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6180" w:type="dxa"/>
            <w:vAlign w:val="bottom"/>
          </w:tcPr>
          <w:p>
            <w:pPr>
              <w:ind w:left="200"/>
              <w:spacing w:after="0"/>
              <w:rPr>
                <w:sz w:val="20"/>
                <w:szCs w:val="20"/>
                <w:color w:val="auto"/>
              </w:rPr>
            </w:pPr>
            <w:r>
              <w:rPr>
                <w:rFonts w:ascii="Arial" w:cs="Arial" w:eastAsia="Arial" w:hAnsi="Arial"/>
                <w:sz w:val="16"/>
                <w:szCs w:val="16"/>
                <w:color w:val="auto"/>
              </w:rPr>
              <w:t>Stock options</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0.3</w:t>
            </w: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0.5</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6180" w:type="dxa"/>
            <w:vAlign w:val="bottom"/>
          </w:tcPr>
          <w:p>
            <w:pPr>
              <w:ind w:left="200"/>
              <w:spacing w:after="0"/>
              <w:rPr>
                <w:sz w:val="20"/>
                <w:szCs w:val="20"/>
                <w:color w:val="auto"/>
              </w:rPr>
            </w:pPr>
            <w:r>
              <w:rPr>
                <w:rFonts w:ascii="Arial" w:cs="Arial" w:eastAsia="Arial" w:hAnsi="Arial"/>
                <w:sz w:val="16"/>
                <w:szCs w:val="16"/>
                <w:color w:val="auto"/>
              </w:rPr>
              <w:t>Performance share units</w:t>
            </w:r>
          </w:p>
        </w:tc>
        <w:tc>
          <w:tcPr>
            <w:tcW w:w="74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0.9</w:t>
            </w: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0.9</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6180" w:type="dxa"/>
            <w:vAlign w:val="bottom"/>
          </w:tcPr>
          <w:p>
            <w:pPr>
              <w:ind w:left="120"/>
              <w:spacing w:after="0"/>
              <w:rPr>
                <w:sz w:val="20"/>
                <w:szCs w:val="20"/>
                <w:color w:val="auto"/>
              </w:rPr>
            </w:pPr>
            <w:r>
              <w:rPr>
                <w:rFonts w:ascii="Arial" w:cs="Arial" w:eastAsia="Arial" w:hAnsi="Arial"/>
                <w:sz w:val="16"/>
                <w:szCs w:val="16"/>
                <w:color w:val="auto"/>
              </w:rPr>
              <w:t>Diluted</w:t>
            </w:r>
          </w:p>
        </w:tc>
        <w:tc>
          <w:tcPr>
            <w:tcW w:w="740" w:type="dxa"/>
            <w:vAlign w:val="bottom"/>
            <w:tcBorders>
              <w:top w:val="single" w:sz="8" w:color="auto"/>
              <w:bottom w:val="single" w:sz="8" w:color="auto"/>
            </w:tcBorders>
          </w:tcPr>
          <w:p>
            <w:pPr>
              <w:spacing w:after="0"/>
              <w:rPr>
                <w:sz w:val="18"/>
                <w:szCs w:val="18"/>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309.9</w:t>
            </w:r>
          </w:p>
        </w:tc>
        <w:tc>
          <w:tcPr>
            <w:tcW w:w="100" w:type="dxa"/>
            <w:vAlign w:val="bottom"/>
          </w:tcPr>
          <w:p>
            <w:pPr>
              <w:spacing w:after="0"/>
              <w:rPr>
                <w:sz w:val="18"/>
                <w:szCs w:val="18"/>
                <w:color w:val="auto"/>
              </w:rPr>
            </w:pPr>
          </w:p>
        </w:tc>
        <w:tc>
          <w:tcPr>
            <w:tcW w:w="760" w:type="dxa"/>
            <w:vAlign w:val="bottom"/>
            <w:tcBorders>
              <w:top w:val="single" w:sz="8" w:color="auto"/>
              <w:bottom w:val="single" w:sz="8" w:color="auto"/>
            </w:tcBorders>
          </w:tcPr>
          <w:p>
            <w:pPr>
              <w:spacing w:after="0"/>
              <w:rPr>
                <w:sz w:val="18"/>
                <w:szCs w:val="18"/>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4"/>
              </w:rPr>
              <w:t>305.0</w:t>
            </w:r>
          </w:p>
        </w:tc>
        <w:tc>
          <w:tcPr>
            <w:tcW w:w="80" w:type="dxa"/>
            <w:vAlign w:val="bottom"/>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309.1</w:t>
            </w:r>
          </w:p>
        </w:tc>
        <w:tc>
          <w:tcPr>
            <w:tcW w:w="120" w:type="dxa"/>
            <w:vAlign w:val="bottom"/>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304.7</w:t>
            </w:r>
          </w:p>
        </w:tc>
        <w:tc>
          <w:tcPr>
            <w:tcW w:w="0" w:type="dxa"/>
            <w:vAlign w:val="bottom"/>
          </w:tcPr>
          <w:p>
            <w:pPr>
              <w:spacing w:after="0"/>
              <w:rPr>
                <w:sz w:val="1"/>
                <w:szCs w:val="1"/>
                <w:color w:val="auto"/>
              </w:rPr>
            </w:pPr>
          </w:p>
        </w:tc>
      </w:tr>
      <w:tr>
        <w:trPr>
          <w:trHeight w:val="21"/>
        </w:trPr>
        <w:tc>
          <w:tcPr>
            <w:tcW w:w="61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1" w:name="page12"/>
    <w:bookmarkEnd w:id="11"/>
    <w:p>
      <w:pPr>
        <w:ind w:left="360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117" w:lineRule="exact"/>
        <w:rPr>
          <w:sz w:val="20"/>
          <w:szCs w:val="20"/>
          <w:color w:val="auto"/>
        </w:rPr>
      </w:pPr>
    </w:p>
    <w:p>
      <w:pPr>
        <w:ind w:left="308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number of antidilutive shares excluded from the computation of diluted shares:</w:t>
      </w:r>
    </w:p>
    <w:p>
      <w:pPr>
        <w:spacing w:after="0" w:line="132"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140" w:type="dxa"/>
            <w:vAlign w:val="bottom"/>
          </w:tcPr>
          <w:p>
            <w:pPr>
              <w:spacing w:after="0"/>
              <w:rPr>
                <w:sz w:val="14"/>
                <w:szCs w:val="14"/>
                <w:color w:val="auto"/>
              </w:rPr>
            </w:pPr>
          </w:p>
        </w:tc>
        <w:tc>
          <w:tcPr>
            <w:tcW w:w="2600" w:type="dxa"/>
            <w:vAlign w:val="bottom"/>
            <w:gridSpan w:val="5"/>
          </w:tcPr>
          <w:p>
            <w:pPr>
              <w:jc w:val="center"/>
              <w:ind w:right="100"/>
              <w:spacing w:after="0"/>
              <w:rPr>
                <w:sz w:val="20"/>
                <w:szCs w:val="20"/>
                <w:color w:val="auto"/>
              </w:rPr>
            </w:pPr>
            <w:r>
              <w:rPr>
                <w:rFonts w:ascii="Arial" w:cs="Arial" w:eastAsia="Arial" w:hAnsi="Arial"/>
                <w:sz w:val="14"/>
                <w:szCs w:val="14"/>
                <w:b w:val="1"/>
                <w:bCs w:val="1"/>
                <w:color w:val="auto"/>
                <w:w w:val="93"/>
              </w:rPr>
              <w:t>Three Months Ended</w:t>
            </w:r>
          </w:p>
        </w:tc>
        <w:tc>
          <w:tcPr>
            <w:tcW w:w="2480" w:type="dxa"/>
            <w:vAlign w:val="bottom"/>
            <w:gridSpan w:val="4"/>
          </w:tcPr>
          <w:p>
            <w:pPr>
              <w:jc w:val="center"/>
              <w:spacing w:after="0"/>
              <w:rPr>
                <w:sz w:val="20"/>
                <w:szCs w:val="20"/>
                <w:color w:val="auto"/>
              </w:rPr>
            </w:pPr>
            <w:r>
              <w:rPr>
                <w:rFonts w:ascii="Arial" w:cs="Arial" w:eastAsia="Arial" w:hAnsi="Arial"/>
                <w:sz w:val="14"/>
                <w:szCs w:val="14"/>
                <w:b w:val="1"/>
                <w:bCs w:val="1"/>
                <w:color w:val="auto"/>
                <w:w w:val="94"/>
              </w:rPr>
              <w:t>Nine Months Ended</w:t>
            </w:r>
          </w:p>
        </w:tc>
      </w:tr>
      <w:tr>
        <w:trPr>
          <w:trHeight w:val="188"/>
        </w:trPr>
        <w:tc>
          <w:tcPr>
            <w:tcW w:w="6140" w:type="dxa"/>
            <w:vAlign w:val="bottom"/>
          </w:tcPr>
          <w:p>
            <w:pPr>
              <w:spacing w:after="0"/>
              <w:rPr>
                <w:sz w:val="16"/>
                <w:szCs w:val="16"/>
                <w:color w:val="auto"/>
              </w:rPr>
            </w:pPr>
          </w:p>
        </w:tc>
        <w:tc>
          <w:tcPr>
            <w:tcW w:w="1720" w:type="dxa"/>
            <w:vAlign w:val="bottom"/>
            <w:tcBorders>
              <w:bottom w:val="single" w:sz="8" w:color="auto"/>
            </w:tcBorders>
            <w:gridSpan w:val="3"/>
          </w:tcPr>
          <w:p>
            <w:pPr>
              <w:jc w:val="center"/>
              <w:ind w:left="684"/>
              <w:spacing w:after="0"/>
              <w:rPr>
                <w:sz w:val="20"/>
                <w:szCs w:val="20"/>
                <w:color w:val="auto"/>
              </w:rPr>
            </w:pPr>
            <w:r>
              <w:rPr>
                <w:rFonts w:ascii="Arial" w:cs="Arial" w:eastAsia="Arial" w:hAnsi="Arial"/>
                <w:sz w:val="14"/>
                <w:szCs w:val="14"/>
                <w:b w:val="1"/>
                <w:bCs w:val="1"/>
                <w:color w:val="auto"/>
                <w:w w:val="91"/>
              </w:rPr>
              <w:t>September 30,</w:t>
            </w:r>
          </w:p>
        </w:tc>
        <w:tc>
          <w:tcPr>
            <w:tcW w:w="7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700" w:type="dxa"/>
            <w:vAlign w:val="bottom"/>
            <w:tcBorders>
              <w:bottom w:val="single" w:sz="8" w:color="auto"/>
            </w:tcBorders>
            <w:gridSpan w:val="3"/>
          </w:tcPr>
          <w:p>
            <w:pPr>
              <w:jc w:val="center"/>
              <w:ind w:left="704"/>
              <w:spacing w:after="0"/>
              <w:rPr>
                <w:sz w:val="20"/>
                <w:szCs w:val="20"/>
                <w:color w:val="auto"/>
              </w:rPr>
            </w:pPr>
            <w:r>
              <w:rPr>
                <w:rFonts w:ascii="Arial" w:cs="Arial" w:eastAsia="Arial" w:hAnsi="Arial"/>
                <w:sz w:val="14"/>
                <w:szCs w:val="14"/>
                <w:b w:val="1"/>
                <w:bCs w:val="1"/>
                <w:color w:val="auto"/>
                <w:w w:val="91"/>
              </w:rPr>
              <w:t>September 30,</w:t>
            </w:r>
          </w:p>
        </w:tc>
        <w:tc>
          <w:tcPr>
            <w:tcW w:w="780" w:type="dxa"/>
            <w:vAlign w:val="bottom"/>
            <w:tcBorders>
              <w:bottom w:val="single" w:sz="8" w:color="auto"/>
            </w:tcBorders>
          </w:tcPr>
          <w:p>
            <w:pPr>
              <w:spacing w:after="0"/>
              <w:rPr>
                <w:sz w:val="16"/>
                <w:szCs w:val="16"/>
                <w:color w:val="auto"/>
              </w:rPr>
            </w:pPr>
          </w:p>
        </w:tc>
      </w:tr>
      <w:tr>
        <w:trPr>
          <w:trHeight w:val="218"/>
        </w:trPr>
        <w:tc>
          <w:tcPr>
            <w:tcW w:w="6140" w:type="dxa"/>
            <w:vAlign w:val="bottom"/>
          </w:tcPr>
          <w:p>
            <w:pPr>
              <w:spacing w:after="0"/>
              <w:rPr>
                <w:sz w:val="18"/>
                <w:szCs w:val="18"/>
                <w:color w:val="auto"/>
              </w:rPr>
            </w:pPr>
          </w:p>
        </w:tc>
        <w:tc>
          <w:tcPr>
            <w:tcW w:w="1200" w:type="dxa"/>
            <w:vAlign w:val="bottom"/>
            <w:tcBorders>
              <w:bottom w:val="single" w:sz="8" w:color="auto"/>
            </w:tcBorders>
          </w:tcPr>
          <w:p>
            <w:pPr>
              <w:jc w:val="right"/>
              <w:ind w:right="384"/>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361"/>
              <w:spacing w:after="0"/>
              <w:rPr>
                <w:sz w:val="20"/>
                <w:szCs w:val="20"/>
                <w:color w:val="auto"/>
              </w:rPr>
            </w:pPr>
            <w:r>
              <w:rPr>
                <w:rFonts w:ascii="Arial" w:cs="Arial" w:eastAsia="Arial" w:hAnsi="Arial"/>
                <w:sz w:val="14"/>
                <w:szCs w:val="14"/>
                <w:b w:val="1"/>
                <w:bCs w:val="1"/>
                <w:color w:val="auto"/>
                <w:w w:val="96"/>
              </w:rPr>
              <w:t>2020</w:t>
            </w:r>
          </w:p>
        </w:tc>
        <w:tc>
          <w:tcPr>
            <w:tcW w:w="120" w:type="dxa"/>
            <w:vAlign w:val="bottom"/>
          </w:tcPr>
          <w:p>
            <w:pPr>
              <w:spacing w:after="0"/>
              <w:rPr>
                <w:sz w:val="18"/>
                <w:szCs w:val="18"/>
                <w:color w:val="auto"/>
              </w:rPr>
            </w:pPr>
          </w:p>
        </w:tc>
        <w:tc>
          <w:tcPr>
            <w:tcW w:w="1180" w:type="dxa"/>
            <w:vAlign w:val="bottom"/>
            <w:tcBorders>
              <w:bottom w:val="single" w:sz="8" w:color="auto"/>
            </w:tcBorders>
          </w:tcPr>
          <w:p>
            <w:pPr>
              <w:jc w:val="right"/>
              <w:ind w:right="364"/>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w w:val="96"/>
              </w:rPr>
              <w:t>2020</w:t>
            </w:r>
          </w:p>
        </w:tc>
      </w:tr>
      <w:tr>
        <w:trPr>
          <w:trHeight w:val="210"/>
        </w:trPr>
        <w:tc>
          <w:tcPr>
            <w:tcW w:w="6140" w:type="dxa"/>
            <w:vAlign w:val="bottom"/>
          </w:tcPr>
          <w:p>
            <w:pPr>
              <w:spacing w:after="0"/>
              <w:rPr>
                <w:sz w:val="20"/>
                <w:szCs w:val="20"/>
                <w:color w:val="auto"/>
              </w:rPr>
            </w:pPr>
            <w:r>
              <w:rPr>
                <w:rFonts w:ascii="Arial" w:cs="Arial" w:eastAsia="Arial" w:hAnsi="Arial"/>
                <w:sz w:val="16"/>
                <w:szCs w:val="16"/>
                <w:color w:val="auto"/>
              </w:rPr>
              <w:t>Restricted common stock</w:t>
            </w:r>
          </w:p>
        </w:tc>
        <w:tc>
          <w:tcPr>
            <w:tcW w:w="1200" w:type="dxa"/>
            <w:vAlign w:val="bottom"/>
          </w:tcPr>
          <w:p>
            <w:pPr>
              <w:jc w:val="right"/>
              <w:ind w:right="4"/>
              <w:spacing w:after="0"/>
              <w:rPr>
                <w:sz w:val="20"/>
                <w:szCs w:val="20"/>
                <w:color w:val="auto"/>
              </w:rPr>
            </w:pPr>
            <w:r>
              <w:rPr>
                <w:rFonts w:ascii="Arial" w:cs="Arial" w:eastAsia="Arial" w:hAnsi="Arial"/>
                <w:sz w:val="16"/>
                <w:szCs w:val="16"/>
                <w:color w:val="auto"/>
              </w:rPr>
              <w:t>47,215</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w w:val="95"/>
              </w:rPr>
              <w:t>2,080,613</w:t>
            </w: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78,889</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w w:val="98"/>
              </w:rPr>
              <w:t>2,089,778</w:t>
            </w:r>
          </w:p>
        </w:tc>
      </w:tr>
      <w:tr>
        <w:trPr>
          <w:trHeight w:val="216"/>
        </w:trPr>
        <w:tc>
          <w:tcPr>
            <w:tcW w:w="6140" w:type="dxa"/>
            <w:vAlign w:val="bottom"/>
          </w:tcPr>
          <w:p>
            <w:pPr>
              <w:spacing w:after="0"/>
              <w:rPr>
                <w:sz w:val="20"/>
                <w:szCs w:val="20"/>
                <w:color w:val="auto"/>
              </w:rPr>
            </w:pPr>
            <w:r>
              <w:rPr>
                <w:rFonts w:ascii="Arial" w:cs="Arial" w:eastAsia="Arial" w:hAnsi="Arial"/>
                <w:sz w:val="16"/>
                <w:szCs w:val="16"/>
                <w:color w:val="auto"/>
              </w:rPr>
              <w:t>Stock options</w:t>
            </w:r>
          </w:p>
        </w:tc>
        <w:tc>
          <w:tcPr>
            <w:tcW w:w="1200" w:type="dxa"/>
            <w:vAlign w:val="bottom"/>
          </w:tcPr>
          <w:p>
            <w:pPr>
              <w:jc w:val="right"/>
              <w:ind w:right="4"/>
              <w:spacing w:after="0"/>
              <w:rPr>
                <w:sz w:val="20"/>
                <w:szCs w:val="20"/>
                <w:color w:val="auto"/>
              </w:rPr>
            </w:pPr>
            <w:r>
              <w:rPr>
                <w:rFonts w:ascii="Arial" w:cs="Arial" w:eastAsia="Arial" w:hAnsi="Arial"/>
                <w:sz w:val="16"/>
                <w:szCs w:val="16"/>
                <w:color w:val="auto"/>
              </w:rPr>
              <w:t>705,557</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w w:val="95"/>
              </w:rPr>
              <w:t>4,424,867</w:t>
            </w: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790,155</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w w:val="98"/>
              </w:rPr>
              <w:t>4,301,311</w:t>
            </w:r>
          </w:p>
        </w:tc>
      </w:tr>
      <w:tr>
        <w:trPr>
          <w:trHeight w:val="216"/>
        </w:trPr>
        <w:tc>
          <w:tcPr>
            <w:tcW w:w="6140" w:type="dxa"/>
            <w:vAlign w:val="bottom"/>
          </w:tcPr>
          <w:p>
            <w:pPr>
              <w:spacing w:after="0"/>
              <w:rPr>
                <w:sz w:val="20"/>
                <w:szCs w:val="20"/>
                <w:color w:val="auto"/>
              </w:rPr>
            </w:pPr>
            <w:r>
              <w:rPr>
                <w:rFonts w:ascii="Arial" w:cs="Arial" w:eastAsia="Arial" w:hAnsi="Arial"/>
                <w:sz w:val="16"/>
                <w:szCs w:val="16"/>
                <w:color w:val="auto"/>
              </w:rPr>
              <w:t>Performance share units</w:t>
            </w:r>
          </w:p>
        </w:tc>
        <w:tc>
          <w:tcPr>
            <w:tcW w:w="1720" w:type="dxa"/>
            <w:vAlign w:val="bottom"/>
            <w:gridSpan w:val="3"/>
          </w:tcPr>
          <w:p>
            <w:pPr>
              <w:jc w:val="right"/>
              <w:ind w:right="600"/>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w w:val="95"/>
              </w:rPr>
              <w:t>1,083,543</w:t>
            </w:r>
          </w:p>
        </w:tc>
        <w:tc>
          <w:tcPr>
            <w:tcW w:w="1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26,405</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w w:val="98"/>
              </w:rPr>
              <w:t>1,124,022</w:t>
            </w:r>
          </w:p>
        </w:tc>
      </w:tr>
    </w:tbl>
    <w:p>
      <w:pPr>
        <w:spacing w:after="0" w:line="194" w:lineRule="exact"/>
        <w:rPr>
          <w:sz w:val="20"/>
          <w:szCs w:val="20"/>
          <w:color w:val="auto"/>
        </w:rPr>
      </w:pPr>
    </w:p>
    <w:p>
      <w:pPr>
        <w:spacing w:after="0"/>
        <w:rPr>
          <w:sz w:val="20"/>
          <w:szCs w:val="20"/>
          <w:color w:val="auto"/>
        </w:rPr>
      </w:pPr>
      <w:r>
        <w:rPr>
          <w:rFonts w:ascii="Arial" w:cs="Arial" w:eastAsia="Arial" w:hAnsi="Arial"/>
          <w:sz w:val="16"/>
          <w:szCs w:val="16"/>
          <w:color w:val="auto"/>
        </w:rPr>
        <w:t>During the nine months ended September 30, 2021, we granted 779,167 shares of restricted stock (2020: 1,120,836), 205,155 performance share units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(2020: 307,999) and 319,295 stock options (2020: 686,639).</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Guarantees and Contingencies</w:t>
      </w:r>
    </w:p>
    <w:p>
      <w:pPr>
        <w:spacing w:after="0" w:line="121"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We are subject to loss contingencies with respect to various claims, lawsuits and other proceedings. A liability is recognized in our consolidated financial statements when it is probable that a loss has been incurred and the amount can be reasonably estimated. If the risk of loss is probable, but the amount cannot be reasonably estimated or the risk of loss is only reasonably possible, a liability is not accrued; however, we disclose the nature of those contingencies. We cannot predict with certainty if, how or when existing claims, lawsuits and proceedings will be resolved or what the eventual relief, if any, may be, particularly for proceedings that are in their early stages of development or where plaintiffs seek indeterminate damages.</w:t>
      </w:r>
    </w:p>
    <w:p>
      <w:pPr>
        <w:spacing w:after="0" w:line="53"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We, along with many companies that have been or continue to be engaged in refining and marketing of gasoline, have been a party to lawsuits and claims related to the use of methyl tertiary butyl ether (MTBE) in gasoline. A series of similar lawsuits, many involving water utilities or governmental entities, were filed in jurisdictions across the U.S. against producers of MTBE and petroleum refiners who produced gasoline containing MTBE, including us. The principal allegation in all cases was that gasoline containing MTBE was a defective product and that these producers and refiners are strictly liable in proportion to their share of the gasoline market for damage to groundwater resources and are required to take remedial action to ameliorate the alleged effects on the environment of releases of MTBE. The majority of the cases asserted against us have been settled. There are three remaining active cases, filed by Pennsylvania, Rhode Island, and Maryland. In June 2014, the Commonwealth of Pennsylvania filed a lawsuit alleging that we and all major oil companies with operations in Pennsylvania, have damaged the groundwater by introducing thereto gasoline with MTBE. The Pennsylvania suit has been forwarded to the existing MTBE multidistrict litigation pending in the Southern District of New York. In September 2016, the State of Rhode Island also filed a lawsuit alleging that we and other major oil companies damaged the groundwater in Rhode Island by introducing thereto gasoline with MTBE. The suit filed in Rhode Island is proceeding in federal court. In December 2017, the State of Maryland filed a lawsuit alleging that we and other major oil companies damaged the groundwater in Maryland by introducing thereto gasoline with MTBE. The suit, filed in Maryland state court, was served on us in January 2018 and has been removed to federal court by the defendants.</w:t>
      </w:r>
    </w:p>
    <w:p>
      <w:pPr>
        <w:spacing w:after="0" w:line="78"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In September 2003, we received a directive from the New Jersey Department of Environmental Protection (NJDEP) to remediate contamination in the sediments of the Lower Passaic River. The NJDEP is also seeking natural resource damages. The directive, insofar as it affects us, relates to alleged releases from a petroleum bulk storage terminal in Newark, New Jersey we previously owned. We and over 70 companies entered into an Administrative Order on Consent with the EPA to study the same contamination; this work remains ongoing. We and other parties settled a cost recovery claim by the State of New Jersey and agreed with the EPA to fund remediation of a portion of the site. On March 4, 2016, the EPA issued a Record of Decision (ROD) in respect of the lower eight miles of the Lower Passaic River, selecting a remedy that includes bank-to-bank dredging at an estimated cost of $1.38 billion. The ROD does not address the upper nine miles of the Lower Passaic River or the Newark Bay, which may require additional remedial action. In addition, the federal trustees for natural resources have begun a separate assessment of damages to natural resources in the Passaic River. Given that the EPA has not selected a final remedy for the entirety of the Lower Passaic River or the Newark Bay, total remedial costs cannot be reliably estimated at this time. Based on currently known facts and circumstances, we do not believe that this matter will result in a significant liability to us because our former terminal did not store or use contaminants which are of concern in the river sediments and could not have contributed contamination along the river’s length. Further, there are numerous other parties who we expect will bear the cost of remediation and damages.</w:t>
      </w:r>
    </w:p>
    <w:p>
      <w:pPr>
        <w:spacing w:after="0" w:line="60"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In March 2014, we received an Administrative Order from the EPA requiring us and 26 other parties to undertake the Remedial Design for the remedy selected by the EPA for the Gowanus Canal Superfund Site in Brooklyn, New York. Our alleged liability derives from our former ownership and operation of a fuel oil terminal and connected shipbuilding and repair facility adjacent to the Canal. The remedy selected by the EPA includes dredging of surface sediments and the placement of a cap over the deeper sediments throughout the Canal and in-situ stabilization of certain contaminated sediments that will remain in place below the cap. The EPA’s original estimate was that this remedy would cost $506 million; however, the ultimate costs that will be incurred in connection with the design and implementation of the remedy remain uncertain. We have complied with the EPA’s March 2014 Administrative Order</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2" w:name="page13"/>
    <w:bookmarkEnd w:id="12"/>
    <w:p>
      <w:pPr>
        <w:ind w:left="360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117" w:lineRule="exact"/>
        <w:rPr>
          <w:sz w:val="20"/>
          <w:szCs w:val="20"/>
          <w:color w:val="auto"/>
        </w:rPr>
      </w:pPr>
    </w:p>
    <w:p>
      <w:pPr>
        <w:ind w:left="308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and contributed funding for the Remedial Design based on an allocation of costs among the parties determined by a third-party expert. In January 2020, we received an additional Administrative Order from the EPA requiring us and several other parties to begin Remedial Action along the uppermost portion of the Canal. We intend to comply with this Administrative Order. The remediation work began in the fourth quarter of 2020. Based on currently known facts and circumstances, we do not believe that this matter will result in a significant liability to us, and the costs will continue to be allocated amongst the parties, as they were for the Remedial Design.</w:t>
      </w:r>
    </w:p>
    <w:p>
      <w:pPr>
        <w:spacing w:after="0" w:line="80"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From time to time, we are involved in other judicial and administrative proceedings relating to environmental matters. We periodically receive notices from the EPA that we are a “potential responsible party” under the Superfund legislation with respect to various waste disposal sites. Under this legislation, all potentially responsible parties may be jointly and severally liable. For any site for which we have received such a notice, the EPA’s claims or assertions of liability against us relating to these sites have not been fully developed, or the EPA’s claims have been settled or a settlement is under consideration, in all cases for amounts that are not material. Beginning in 2017, certain states, municipalities and private associations in California, Delaware, Maryland, Rhode Island and South Carolina separately filed lawsuits against oil, gas and coal producers, including us, for alleged damages purportedly caused by climate change. These proceedings include claims for monetary damages and injunctive relief. Beginning in 2013, various parishes in Louisiana filed suit against approximately 100 oil and gas companies, including us, alleging that the companies’ operations and activities in certain fields violated the State and Local Coastal Resource Management Act of 1978, as amended, and caused contamination, subsidence and other environmental damages to land and water bodies located in the coastal zone of Louisiana. The plaintiffs seek, among other things, the payment of the costs necessary to clear, re-vegetate and otherwise restore the allegedly impacted areas. The ultimate impact of such climate and other aforementioned environmental proceedings, and of any related proceedings by private parties, on our business or accounts cannot be predicted at this time due to the large number of other potentially responsible parties and the speculative nature of clean-up cost estimates.</w:t>
      </w:r>
    </w:p>
    <w:p>
      <w:pPr>
        <w:spacing w:after="0" w:line="78"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In August 2020, Fieldwood and related entities filed for bankruptcy relief under Chapter 11 of the U.S. Bankruptcy Code. Fieldwood’s Bankruptcy Plan, which was approved by the U.S. Bankruptcy Court in June 2021, includes the abandonment of certain assets, including seven offshore Gulf of Mexico leases and related facilities in the West Delta Field that were formerly owned by us and sold to a Fieldwood predecessor in 2004, and the discharge of Fieldwood’s obligation to decommission these facilities. As a result, in October 2021 we received decommissioning orders from the Bureau of Safety and Environmental Enforcement (BSEE) requiring us to decommission certain wells and related facilities located on two of the seven West Delta leases. We expect to receive additional decommissioning orders on the other West Delta leases in the near future and are actively engaged with the BSEE to agree on the scope and timing of decommissioning activities. Our decommissioning obligation derives from our former ownership of the facilities. We intend to seek contribution from other parties that owned an interest in the facilities. As of September 30, 2021, we have a loss contingency accrual of $147 million ($147 million after income taxes) representing total estimated abandonment obligations in the West Delta Field. Potential recoveries from other parties that previously owned an interest in the West Delta Field have not been recognized as of September 30, 2021.</w:t>
      </w:r>
    </w:p>
    <w:p>
      <w:pPr>
        <w:spacing w:after="0" w:line="60"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are also involved in other judicial and administrative proceedings from time to time in addition to the matters described above, including claims related to post-production deductions from royalty payments. We may also be exposed to future decommissioning liabilities for divested assets in the event the current or future owners are determined to be unable to perform such actions, whether due to bankruptcy or otherwise. We cannot predict with certainty if, how or when such proceedings will be resolved or what the eventual relief, if any, may be, particularly for proceedings that are in their early stages of development or where plaintiffs seek indeterminate damages. Numerous issues may need to be resolved, including through potentially lengthy discovery and determination of important factual matters before a loss or range of loss can be reasonably estimated for any proceeding.</w:t>
      </w:r>
    </w:p>
    <w:p>
      <w:pPr>
        <w:spacing w:after="0" w:line="5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Subject to the foregoing, in management’s opinion, based upon currently known facts and circumstances, the outcome of lawsuits, claims and proceedings, including the matters disclosed above, is not expected to have a material adverse effect on our financial condition, results of operations or cash flows. However, we could incur judgments, enter into settlements, or revise our opinion regarding the outcome of certain matters, and such developments could have a material adverse effect on our results of operations in the period in which the amounts are accrued and our cash flows in the period in which the amounts are paid.</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3" w:name="page14"/>
    <w:bookmarkEnd w:id="13"/>
    <w:p>
      <w:pPr>
        <w:ind w:left="360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117" w:lineRule="exact"/>
        <w:rPr>
          <w:sz w:val="20"/>
          <w:szCs w:val="20"/>
          <w:color w:val="auto"/>
        </w:rPr>
      </w:pPr>
    </w:p>
    <w:p>
      <w:pPr>
        <w:ind w:left="308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Segment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We currently have two operating segments, Exploration and Production and Midstream. All unallocated costs are reflected under Corporate, Interest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Other. The following table presents operating segment financial data:</w:t>
      </w:r>
    </w:p>
    <w:p>
      <w:pPr>
        <w:spacing w:after="0" w:line="200" w:lineRule="exact"/>
        <w:rPr>
          <w:sz w:val="20"/>
          <w:szCs w:val="20"/>
          <w:color w:val="auto"/>
        </w:rPr>
      </w:pPr>
    </w:p>
    <w:p>
      <w:pPr>
        <w:spacing w:after="0" w:line="256"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29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20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Exploration and</w:t>
            </w:r>
          </w:p>
        </w:tc>
        <w:tc>
          <w:tcPr>
            <w:tcW w:w="1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Corporate,</w:t>
            </w: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9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300" w:type="dxa"/>
            <w:vAlign w:val="bottom"/>
          </w:tcPr>
          <w:p>
            <w:pPr>
              <w:spacing w:after="0"/>
              <w:rPr>
                <w:sz w:val="11"/>
                <w:szCs w:val="11"/>
                <w:color w:val="auto"/>
              </w:rPr>
            </w:pPr>
          </w:p>
        </w:tc>
        <w:tc>
          <w:tcPr>
            <w:tcW w:w="1200" w:type="dxa"/>
            <w:vAlign w:val="bottom"/>
            <w:gridSpan w:val="3"/>
            <w:vMerge w:val="continue"/>
          </w:tcPr>
          <w:p>
            <w:pPr>
              <w:spacing w:after="0"/>
              <w:rPr>
                <w:sz w:val="11"/>
                <w:szCs w:val="11"/>
                <w:color w:val="auto"/>
              </w:rPr>
            </w:pPr>
          </w:p>
        </w:tc>
        <w:tc>
          <w:tcPr>
            <w:tcW w:w="140" w:type="dxa"/>
            <w:vAlign w:val="bottom"/>
          </w:tcPr>
          <w:p>
            <w:pPr>
              <w:spacing w:after="0"/>
              <w:rPr>
                <w:sz w:val="11"/>
                <w:szCs w:val="11"/>
                <w:color w:val="auto"/>
              </w:rPr>
            </w:pPr>
          </w:p>
        </w:tc>
        <w:tc>
          <w:tcPr>
            <w:tcW w:w="940" w:type="dxa"/>
            <w:vAlign w:val="bottom"/>
            <w:vMerge w:val="restart"/>
          </w:tcPr>
          <w:p>
            <w:pPr>
              <w:jc w:val="right"/>
              <w:ind w:right="119"/>
              <w:spacing w:after="0"/>
              <w:rPr>
                <w:sz w:val="20"/>
                <w:szCs w:val="20"/>
                <w:color w:val="auto"/>
              </w:rPr>
            </w:pPr>
            <w:r>
              <w:rPr>
                <w:rFonts w:ascii="Arial" w:cs="Arial" w:eastAsia="Arial" w:hAnsi="Arial"/>
                <w:sz w:val="14"/>
                <w:szCs w:val="14"/>
                <w:b w:val="1"/>
                <w:bCs w:val="1"/>
                <w:color w:val="auto"/>
              </w:rPr>
              <w:t>Midstream</w:t>
            </w:r>
          </w:p>
        </w:tc>
        <w:tc>
          <w:tcPr>
            <w:tcW w:w="100" w:type="dxa"/>
            <w:vAlign w:val="bottom"/>
            <w:vMerge w:val="restart"/>
          </w:tcPr>
          <w:p>
            <w:pPr>
              <w:spacing w:after="0"/>
              <w:rPr>
                <w:sz w:val="11"/>
                <w:szCs w:val="11"/>
                <w:color w:val="auto"/>
              </w:rPr>
            </w:pPr>
          </w:p>
        </w:tc>
        <w:tc>
          <w:tcPr>
            <w:tcW w:w="140" w:type="dxa"/>
            <w:vAlign w:val="bottom"/>
          </w:tcPr>
          <w:p>
            <w:pPr>
              <w:spacing w:after="0"/>
              <w:rPr>
                <w:sz w:val="11"/>
                <w:szCs w:val="11"/>
                <w:color w:val="auto"/>
              </w:rPr>
            </w:pPr>
          </w:p>
        </w:tc>
        <w:tc>
          <w:tcPr>
            <w:tcW w:w="106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93"/>
              </w:rPr>
              <w:t>Interest and</w:t>
            </w:r>
          </w:p>
        </w:tc>
        <w:tc>
          <w:tcPr>
            <w:tcW w:w="120" w:type="dxa"/>
            <w:vAlign w:val="bottom"/>
          </w:tcPr>
          <w:p>
            <w:pPr>
              <w:spacing w:after="0"/>
              <w:rPr>
                <w:sz w:val="11"/>
                <w:szCs w:val="11"/>
                <w:color w:val="auto"/>
              </w:rPr>
            </w:pPr>
          </w:p>
        </w:tc>
        <w:tc>
          <w:tcPr>
            <w:tcW w:w="9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Eliminations</w:t>
            </w:r>
          </w:p>
        </w:tc>
        <w:tc>
          <w:tcPr>
            <w:tcW w:w="100" w:type="dxa"/>
            <w:vAlign w:val="bottom"/>
            <w:vMerge w:val="restart"/>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vMerge w:val="restart"/>
          </w:tcPr>
          <w:p>
            <w:pPr>
              <w:jc w:val="right"/>
              <w:ind w:right="299"/>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8"/>
        </w:trPr>
        <w:tc>
          <w:tcPr>
            <w:tcW w:w="29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3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w w:val="94"/>
              </w:rPr>
              <w:t>Production</w:t>
            </w:r>
          </w:p>
        </w:tc>
        <w:tc>
          <w:tcPr>
            <w:tcW w:w="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60"/>
              <w:spacing w:after="0"/>
              <w:rPr>
                <w:sz w:val="20"/>
                <w:szCs w:val="20"/>
                <w:color w:val="auto"/>
              </w:rPr>
            </w:pPr>
            <w:r>
              <w:rPr>
                <w:rFonts w:ascii="Arial" w:cs="Arial" w:eastAsia="Arial" w:hAnsi="Arial"/>
                <w:sz w:val="14"/>
                <w:szCs w:val="14"/>
                <w:b w:val="1"/>
                <w:bCs w:val="1"/>
                <w:color w:val="auto"/>
                <w:w w:val="96"/>
              </w:rPr>
              <w:t>Other</w:t>
            </w: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39"/>
        </w:trPr>
        <w:tc>
          <w:tcPr>
            <w:tcW w:w="29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(In millions)</w:t>
            </w:r>
          </w:p>
        </w:tc>
        <w:tc>
          <w:tcPr>
            <w:tcW w:w="1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8"/>
        </w:trPr>
        <w:tc>
          <w:tcPr>
            <w:tcW w:w="5340" w:type="dxa"/>
            <w:vAlign w:val="bottom"/>
            <w:gridSpan w:val="3"/>
          </w:tcPr>
          <w:p>
            <w:pPr>
              <w:spacing w:after="0"/>
              <w:rPr>
                <w:sz w:val="20"/>
                <w:szCs w:val="20"/>
                <w:color w:val="auto"/>
              </w:rPr>
            </w:pPr>
            <w:r>
              <w:rPr>
                <w:rFonts w:ascii="Arial" w:cs="Arial" w:eastAsia="Arial" w:hAnsi="Arial"/>
                <w:sz w:val="14"/>
                <w:szCs w:val="14"/>
                <w:b w:val="1"/>
                <w:bCs w:val="1"/>
                <w:color w:val="auto"/>
              </w:rPr>
              <w:t>For the Three Months Ended September 30, 2021</w:t>
            </w:r>
          </w:p>
        </w:tc>
        <w:tc>
          <w:tcPr>
            <w:tcW w:w="1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9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1"/>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Sales and Other Operating Revenues - Third parties</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1,759</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1,759</w:t>
            </w:r>
          </w:p>
        </w:tc>
        <w:tc>
          <w:tcPr>
            <w:tcW w:w="0" w:type="dxa"/>
            <w:vAlign w:val="bottom"/>
          </w:tcPr>
          <w:p>
            <w:pPr>
              <w:spacing w:after="0"/>
              <w:rPr>
                <w:sz w:val="1"/>
                <w:szCs w:val="1"/>
                <w:color w:val="auto"/>
              </w:rPr>
            </w:pPr>
          </w:p>
        </w:tc>
      </w:tr>
      <w:tr>
        <w:trPr>
          <w:trHeight w:val="219"/>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Intersegment Revenues</w:t>
            </w:r>
          </w:p>
        </w:tc>
        <w:tc>
          <w:tcPr>
            <w:tcW w:w="1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304</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ind w:left="580"/>
              <w:spacing w:after="0"/>
              <w:rPr>
                <w:sz w:val="20"/>
                <w:szCs w:val="20"/>
                <w:color w:val="auto"/>
              </w:rPr>
            </w:pPr>
            <w:r>
              <w:rPr>
                <w:rFonts w:ascii="Arial" w:cs="Arial" w:eastAsia="Arial" w:hAnsi="Arial"/>
                <w:sz w:val="16"/>
                <w:szCs w:val="16"/>
                <w:color w:val="auto"/>
                <w:w w:val="96"/>
              </w:rPr>
              <w:t>(304)</w:t>
            </w:r>
          </w:p>
        </w:tc>
        <w:tc>
          <w:tcPr>
            <w:tcW w:w="1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5340" w:type="dxa"/>
            <w:vAlign w:val="bottom"/>
            <w:gridSpan w:val="3"/>
          </w:tcPr>
          <w:p>
            <w:pPr>
              <w:ind w:left="200"/>
              <w:spacing w:after="0"/>
              <w:rPr>
                <w:sz w:val="20"/>
                <w:szCs w:val="20"/>
                <w:color w:val="auto"/>
              </w:rPr>
            </w:pPr>
            <w:r>
              <w:rPr>
                <w:rFonts w:ascii="Arial" w:cs="Arial" w:eastAsia="Arial" w:hAnsi="Arial"/>
                <w:sz w:val="16"/>
                <w:szCs w:val="16"/>
                <w:color w:val="auto"/>
              </w:rPr>
              <w:t>Sales and Other Operating Revenues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1,759</w:t>
            </w:r>
          </w:p>
        </w:tc>
        <w:tc>
          <w:tcPr>
            <w:tcW w:w="1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304</w:t>
            </w:r>
          </w:p>
        </w:tc>
        <w:tc>
          <w:tcPr>
            <w:tcW w:w="1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ind w:left="580"/>
              <w:spacing w:after="0"/>
              <w:rPr>
                <w:sz w:val="20"/>
                <w:szCs w:val="20"/>
                <w:color w:val="auto"/>
              </w:rPr>
            </w:pPr>
            <w:r>
              <w:rPr>
                <w:rFonts w:ascii="Arial" w:cs="Arial" w:eastAsia="Arial" w:hAnsi="Arial"/>
                <w:sz w:val="16"/>
                <w:szCs w:val="16"/>
                <w:color w:val="auto"/>
                <w:w w:val="96"/>
              </w:rPr>
              <w:t>(304)</w:t>
            </w:r>
          </w:p>
        </w:tc>
        <w:tc>
          <w:tcPr>
            <w:tcW w:w="100" w:type="dxa"/>
            <w:vAlign w:val="bottom"/>
          </w:tcPr>
          <w:p>
            <w:pPr>
              <w:spacing w:after="0"/>
              <w:rPr>
                <w:sz w:val="18"/>
                <w:szCs w:val="18"/>
                <w:color w:val="auto"/>
              </w:rPr>
            </w:pP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1,759</w:t>
            </w:r>
          </w:p>
        </w:tc>
        <w:tc>
          <w:tcPr>
            <w:tcW w:w="0" w:type="dxa"/>
            <w:vAlign w:val="bottom"/>
          </w:tcPr>
          <w:p>
            <w:pPr>
              <w:spacing w:after="0"/>
              <w:rPr>
                <w:sz w:val="1"/>
                <w:szCs w:val="1"/>
                <w:color w:val="auto"/>
              </w:rPr>
            </w:pPr>
          </w:p>
        </w:tc>
      </w:tr>
      <w:tr>
        <w:trPr>
          <w:trHeight w:val="21"/>
        </w:trPr>
        <w:tc>
          <w:tcPr>
            <w:tcW w:w="2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85"/>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Net Income (Loss) attributable to Hess Corporation</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178</w:t>
            </w:r>
          </w:p>
        </w:tc>
        <w:tc>
          <w:tcPr>
            <w:tcW w:w="12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61</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(124)</w:t>
            </w:r>
          </w:p>
        </w:tc>
        <w:tc>
          <w:tcPr>
            <w:tcW w:w="12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115</w:t>
            </w:r>
          </w:p>
        </w:tc>
        <w:tc>
          <w:tcPr>
            <w:tcW w:w="0" w:type="dxa"/>
            <w:vAlign w:val="bottom"/>
          </w:tcPr>
          <w:p>
            <w:pPr>
              <w:spacing w:after="0"/>
              <w:rPr>
                <w:sz w:val="1"/>
                <w:szCs w:val="1"/>
                <w:color w:val="auto"/>
              </w:rPr>
            </w:pPr>
          </w:p>
        </w:tc>
      </w:tr>
      <w:tr>
        <w:trPr>
          <w:trHeight w:val="216"/>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Depreciation, Depletion and Amortization</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308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41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349</w:t>
            </w:r>
          </w:p>
        </w:tc>
        <w:tc>
          <w:tcPr>
            <w:tcW w:w="0" w:type="dxa"/>
            <w:vAlign w:val="bottom"/>
          </w:tcPr>
          <w:p>
            <w:pPr>
              <w:spacing w:after="0"/>
              <w:rPr>
                <w:sz w:val="1"/>
                <w:szCs w:val="1"/>
                <w:color w:val="auto"/>
              </w:rPr>
            </w:pPr>
          </w:p>
        </w:tc>
      </w:tr>
      <w:tr>
        <w:trPr>
          <w:trHeight w:val="216"/>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Provision (Benefit) for Income Taxes</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140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143</w:t>
            </w:r>
          </w:p>
        </w:tc>
        <w:tc>
          <w:tcPr>
            <w:tcW w:w="0" w:type="dxa"/>
            <w:vAlign w:val="bottom"/>
          </w:tcPr>
          <w:p>
            <w:pPr>
              <w:spacing w:after="0"/>
              <w:rPr>
                <w:sz w:val="1"/>
                <w:szCs w:val="1"/>
                <w:color w:val="auto"/>
              </w:rPr>
            </w:pPr>
          </w:p>
        </w:tc>
      </w:tr>
      <w:tr>
        <w:trPr>
          <w:trHeight w:val="213"/>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Capital Expenditures</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469</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59</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528</w:t>
            </w:r>
          </w:p>
        </w:tc>
        <w:tc>
          <w:tcPr>
            <w:tcW w:w="0" w:type="dxa"/>
            <w:vAlign w:val="bottom"/>
          </w:tcPr>
          <w:p>
            <w:pPr>
              <w:spacing w:after="0"/>
              <w:rPr>
                <w:sz w:val="1"/>
                <w:szCs w:val="1"/>
                <w:color w:val="auto"/>
              </w:rPr>
            </w:pPr>
          </w:p>
        </w:tc>
      </w:tr>
      <w:tr>
        <w:trPr>
          <w:trHeight w:val="158"/>
        </w:trPr>
        <w:tc>
          <w:tcPr>
            <w:tcW w:w="5340" w:type="dxa"/>
            <w:vAlign w:val="bottom"/>
            <w:gridSpan w:val="3"/>
          </w:tcPr>
          <w:p>
            <w:pPr>
              <w:spacing w:after="0" w:line="158" w:lineRule="exact"/>
              <w:rPr>
                <w:sz w:val="20"/>
                <w:szCs w:val="20"/>
                <w:color w:val="auto"/>
              </w:rPr>
            </w:pPr>
            <w:r>
              <w:rPr>
                <w:rFonts w:ascii="Arial" w:cs="Arial" w:eastAsia="Arial" w:hAnsi="Arial"/>
                <w:sz w:val="14"/>
                <w:szCs w:val="14"/>
                <w:b w:val="1"/>
                <w:bCs w:val="1"/>
                <w:color w:val="auto"/>
              </w:rPr>
              <w:t>For the Three Months Ended September 30, 2020</w:t>
            </w:r>
          </w:p>
        </w:tc>
        <w:tc>
          <w:tcPr>
            <w:tcW w:w="1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9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1"/>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Sales and Other Operating Revenues - Third parties</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1,159</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1,159</w:t>
            </w:r>
          </w:p>
        </w:tc>
        <w:tc>
          <w:tcPr>
            <w:tcW w:w="0" w:type="dxa"/>
            <w:vAlign w:val="bottom"/>
          </w:tcPr>
          <w:p>
            <w:pPr>
              <w:spacing w:after="0"/>
              <w:rPr>
                <w:sz w:val="1"/>
                <w:szCs w:val="1"/>
                <w:color w:val="auto"/>
              </w:rPr>
            </w:pPr>
          </w:p>
        </w:tc>
      </w:tr>
      <w:tr>
        <w:trPr>
          <w:trHeight w:val="219"/>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Intersegment Revenues</w:t>
            </w:r>
          </w:p>
        </w:tc>
        <w:tc>
          <w:tcPr>
            <w:tcW w:w="1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264</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ind w:left="580"/>
              <w:spacing w:after="0"/>
              <w:rPr>
                <w:sz w:val="20"/>
                <w:szCs w:val="20"/>
                <w:color w:val="auto"/>
              </w:rPr>
            </w:pPr>
            <w:r>
              <w:rPr>
                <w:rFonts w:ascii="Arial" w:cs="Arial" w:eastAsia="Arial" w:hAnsi="Arial"/>
                <w:sz w:val="16"/>
                <w:szCs w:val="16"/>
                <w:color w:val="auto"/>
                <w:w w:val="96"/>
              </w:rPr>
              <w:t>(264)</w:t>
            </w:r>
          </w:p>
        </w:tc>
        <w:tc>
          <w:tcPr>
            <w:tcW w:w="1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5340" w:type="dxa"/>
            <w:vAlign w:val="bottom"/>
            <w:gridSpan w:val="3"/>
          </w:tcPr>
          <w:p>
            <w:pPr>
              <w:ind w:left="200"/>
              <w:spacing w:after="0"/>
              <w:rPr>
                <w:sz w:val="20"/>
                <w:szCs w:val="20"/>
                <w:color w:val="auto"/>
              </w:rPr>
            </w:pPr>
            <w:r>
              <w:rPr>
                <w:rFonts w:ascii="Arial" w:cs="Arial" w:eastAsia="Arial" w:hAnsi="Arial"/>
                <w:sz w:val="16"/>
                <w:szCs w:val="16"/>
                <w:color w:val="auto"/>
              </w:rPr>
              <w:t>Sales and Other Operating Revenues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1,159</w:t>
            </w:r>
          </w:p>
        </w:tc>
        <w:tc>
          <w:tcPr>
            <w:tcW w:w="1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264</w:t>
            </w:r>
          </w:p>
        </w:tc>
        <w:tc>
          <w:tcPr>
            <w:tcW w:w="1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ind w:left="580"/>
              <w:spacing w:after="0"/>
              <w:rPr>
                <w:sz w:val="20"/>
                <w:szCs w:val="20"/>
                <w:color w:val="auto"/>
              </w:rPr>
            </w:pPr>
            <w:r>
              <w:rPr>
                <w:rFonts w:ascii="Arial" w:cs="Arial" w:eastAsia="Arial" w:hAnsi="Arial"/>
                <w:sz w:val="16"/>
                <w:szCs w:val="16"/>
                <w:color w:val="auto"/>
                <w:w w:val="96"/>
              </w:rPr>
              <w:t>(264)</w:t>
            </w:r>
          </w:p>
        </w:tc>
        <w:tc>
          <w:tcPr>
            <w:tcW w:w="100" w:type="dxa"/>
            <w:vAlign w:val="bottom"/>
          </w:tcPr>
          <w:p>
            <w:pPr>
              <w:spacing w:after="0"/>
              <w:rPr>
                <w:sz w:val="18"/>
                <w:szCs w:val="18"/>
                <w:color w:val="auto"/>
              </w:rPr>
            </w:pP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1,159</w:t>
            </w:r>
          </w:p>
        </w:tc>
        <w:tc>
          <w:tcPr>
            <w:tcW w:w="0" w:type="dxa"/>
            <w:vAlign w:val="bottom"/>
          </w:tcPr>
          <w:p>
            <w:pPr>
              <w:spacing w:after="0"/>
              <w:rPr>
                <w:sz w:val="1"/>
                <w:szCs w:val="1"/>
                <w:color w:val="auto"/>
              </w:rPr>
            </w:pPr>
          </w:p>
        </w:tc>
      </w:tr>
      <w:tr>
        <w:trPr>
          <w:trHeight w:val="21"/>
        </w:trPr>
        <w:tc>
          <w:tcPr>
            <w:tcW w:w="2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25"/>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Net Income (Loss) attributable to Hess Corporation</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(182)</w:t>
            </w:r>
          </w:p>
        </w:tc>
        <w:tc>
          <w:tcPr>
            <w:tcW w:w="12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56</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(117)</w:t>
            </w:r>
          </w:p>
        </w:tc>
        <w:tc>
          <w:tcPr>
            <w:tcW w:w="12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(243)</w:t>
            </w:r>
          </w:p>
        </w:tc>
        <w:tc>
          <w:tcPr>
            <w:tcW w:w="0" w:type="dxa"/>
            <w:vAlign w:val="bottom"/>
          </w:tcPr>
          <w:p>
            <w:pPr>
              <w:spacing w:after="0"/>
              <w:rPr>
                <w:sz w:val="1"/>
                <w:szCs w:val="1"/>
                <w:color w:val="auto"/>
              </w:rPr>
            </w:pPr>
          </w:p>
        </w:tc>
      </w:tr>
      <w:tr>
        <w:trPr>
          <w:trHeight w:val="216"/>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Depreciation, Depletion and Amortization</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478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40</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518</w:t>
            </w:r>
          </w:p>
        </w:tc>
        <w:tc>
          <w:tcPr>
            <w:tcW w:w="0" w:type="dxa"/>
            <w:vAlign w:val="bottom"/>
          </w:tcPr>
          <w:p>
            <w:pPr>
              <w:spacing w:after="0"/>
              <w:rPr>
                <w:sz w:val="1"/>
                <w:szCs w:val="1"/>
                <w:color w:val="auto"/>
              </w:rPr>
            </w:pPr>
          </w:p>
        </w:tc>
      </w:tr>
      <w:tr>
        <w:trPr>
          <w:trHeight w:val="216"/>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Provision (Benefit) for Income Taxes</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6</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13"/>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Capital Expenditures</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301</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66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367</w:t>
            </w:r>
          </w:p>
        </w:tc>
        <w:tc>
          <w:tcPr>
            <w:tcW w:w="0" w:type="dxa"/>
            <w:vAlign w:val="bottom"/>
          </w:tcPr>
          <w:p>
            <w:pPr>
              <w:spacing w:after="0"/>
              <w:rPr>
                <w:sz w:val="1"/>
                <w:szCs w:val="1"/>
                <w:color w:val="auto"/>
              </w:rPr>
            </w:pPr>
          </w:p>
        </w:tc>
      </w:tr>
      <w:tr>
        <w:trPr>
          <w:trHeight w:val="158"/>
        </w:trPr>
        <w:tc>
          <w:tcPr>
            <w:tcW w:w="5340" w:type="dxa"/>
            <w:vAlign w:val="bottom"/>
            <w:gridSpan w:val="3"/>
          </w:tcPr>
          <w:p>
            <w:pPr>
              <w:spacing w:after="0" w:line="158" w:lineRule="exact"/>
              <w:rPr>
                <w:sz w:val="20"/>
                <w:szCs w:val="20"/>
                <w:color w:val="auto"/>
              </w:rPr>
            </w:pPr>
            <w:r>
              <w:rPr>
                <w:rFonts w:ascii="Arial" w:cs="Arial" w:eastAsia="Arial" w:hAnsi="Arial"/>
                <w:sz w:val="14"/>
                <w:szCs w:val="14"/>
                <w:b w:val="1"/>
                <w:bCs w:val="1"/>
                <w:color w:val="auto"/>
              </w:rPr>
              <w:t>For the Nine Months Ended September 30, 2021</w:t>
            </w:r>
          </w:p>
        </w:tc>
        <w:tc>
          <w:tcPr>
            <w:tcW w:w="1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960" w:type="dxa"/>
            <w:vAlign w:val="bottom"/>
            <w:shd w:val="clear" w:color="auto" w:fill="000000"/>
          </w:tcPr>
          <w:p>
            <w:pPr>
              <w:spacing w:after="0" w:line="20" w:lineRule="exact"/>
              <w:rPr>
                <w:sz w:val="1"/>
                <w:szCs w:val="1"/>
                <w:color w:val="auto"/>
              </w:rPr>
            </w:pPr>
          </w:p>
        </w:tc>
        <w:tc>
          <w:tcPr>
            <w:tcW w:w="238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Sales and Other Operating Revenues - Third parties</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5,236</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5,236</w:t>
            </w:r>
          </w:p>
        </w:tc>
        <w:tc>
          <w:tcPr>
            <w:tcW w:w="0" w:type="dxa"/>
            <w:vAlign w:val="bottom"/>
          </w:tcPr>
          <w:p>
            <w:pPr>
              <w:spacing w:after="0"/>
              <w:rPr>
                <w:sz w:val="1"/>
                <w:szCs w:val="1"/>
                <w:color w:val="auto"/>
              </w:rPr>
            </w:pPr>
          </w:p>
        </w:tc>
      </w:tr>
      <w:tr>
        <w:trPr>
          <w:trHeight w:val="219"/>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Intersegment Revenues</w:t>
            </w:r>
          </w:p>
        </w:tc>
        <w:tc>
          <w:tcPr>
            <w:tcW w:w="1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887</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ind w:left="580"/>
              <w:spacing w:after="0"/>
              <w:rPr>
                <w:sz w:val="20"/>
                <w:szCs w:val="20"/>
                <w:color w:val="auto"/>
              </w:rPr>
            </w:pPr>
            <w:r>
              <w:rPr>
                <w:rFonts w:ascii="Arial" w:cs="Arial" w:eastAsia="Arial" w:hAnsi="Arial"/>
                <w:sz w:val="16"/>
                <w:szCs w:val="16"/>
                <w:color w:val="auto"/>
                <w:w w:val="96"/>
              </w:rPr>
              <w:t>(887)</w:t>
            </w:r>
          </w:p>
        </w:tc>
        <w:tc>
          <w:tcPr>
            <w:tcW w:w="1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5340" w:type="dxa"/>
            <w:vAlign w:val="bottom"/>
            <w:gridSpan w:val="3"/>
          </w:tcPr>
          <w:p>
            <w:pPr>
              <w:ind w:left="200"/>
              <w:spacing w:after="0"/>
              <w:rPr>
                <w:sz w:val="20"/>
                <w:szCs w:val="20"/>
                <w:color w:val="auto"/>
              </w:rPr>
            </w:pPr>
            <w:r>
              <w:rPr>
                <w:rFonts w:ascii="Arial" w:cs="Arial" w:eastAsia="Arial" w:hAnsi="Arial"/>
                <w:sz w:val="16"/>
                <w:szCs w:val="16"/>
                <w:color w:val="auto"/>
              </w:rPr>
              <w:t>Sales and Other Operating Revenues</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5,236</w:t>
            </w:r>
          </w:p>
        </w:tc>
        <w:tc>
          <w:tcPr>
            <w:tcW w:w="1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887</w:t>
            </w:r>
          </w:p>
        </w:tc>
        <w:tc>
          <w:tcPr>
            <w:tcW w:w="1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ind w:left="580"/>
              <w:spacing w:after="0"/>
              <w:rPr>
                <w:sz w:val="20"/>
                <w:szCs w:val="20"/>
                <w:color w:val="auto"/>
              </w:rPr>
            </w:pPr>
            <w:r>
              <w:rPr>
                <w:rFonts w:ascii="Arial" w:cs="Arial" w:eastAsia="Arial" w:hAnsi="Arial"/>
                <w:sz w:val="16"/>
                <w:szCs w:val="16"/>
                <w:color w:val="auto"/>
                <w:w w:val="96"/>
              </w:rPr>
              <w:t>(887)</w:t>
            </w:r>
          </w:p>
        </w:tc>
        <w:tc>
          <w:tcPr>
            <w:tcW w:w="100" w:type="dxa"/>
            <w:vAlign w:val="bottom"/>
          </w:tcPr>
          <w:p>
            <w:pPr>
              <w:spacing w:after="0"/>
              <w:rPr>
                <w:sz w:val="18"/>
                <w:szCs w:val="18"/>
                <w:color w:val="auto"/>
              </w:rPr>
            </w:pP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5,236</w:t>
            </w:r>
          </w:p>
        </w:tc>
        <w:tc>
          <w:tcPr>
            <w:tcW w:w="0" w:type="dxa"/>
            <w:vAlign w:val="bottom"/>
          </w:tcPr>
          <w:p>
            <w:pPr>
              <w:spacing w:after="0"/>
              <w:rPr>
                <w:sz w:val="1"/>
                <w:szCs w:val="1"/>
                <w:color w:val="auto"/>
              </w:rPr>
            </w:pPr>
          </w:p>
        </w:tc>
      </w:tr>
      <w:tr>
        <w:trPr>
          <w:trHeight w:val="20"/>
        </w:trPr>
        <w:tc>
          <w:tcPr>
            <w:tcW w:w="2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84"/>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Net Income (Loss) attributable to Hess Corporation</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461</w:t>
            </w:r>
          </w:p>
        </w:tc>
        <w:tc>
          <w:tcPr>
            <w:tcW w:w="12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212</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(379)</w:t>
            </w:r>
          </w:p>
        </w:tc>
        <w:tc>
          <w:tcPr>
            <w:tcW w:w="12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294</w:t>
            </w:r>
          </w:p>
        </w:tc>
        <w:tc>
          <w:tcPr>
            <w:tcW w:w="0" w:type="dxa"/>
            <w:vAlign w:val="bottom"/>
          </w:tcPr>
          <w:p>
            <w:pPr>
              <w:spacing w:after="0"/>
              <w:rPr>
                <w:sz w:val="1"/>
                <w:szCs w:val="1"/>
                <w:color w:val="auto"/>
              </w:rPr>
            </w:pPr>
          </w:p>
        </w:tc>
      </w:tr>
      <w:tr>
        <w:trPr>
          <w:trHeight w:val="216"/>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Depreciation, Depletion and Amortization</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1,007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122</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1,130</w:t>
            </w:r>
          </w:p>
        </w:tc>
        <w:tc>
          <w:tcPr>
            <w:tcW w:w="0" w:type="dxa"/>
            <w:vAlign w:val="bottom"/>
          </w:tcPr>
          <w:p>
            <w:pPr>
              <w:spacing w:after="0"/>
              <w:rPr>
                <w:sz w:val="1"/>
                <w:szCs w:val="1"/>
                <w:color w:val="auto"/>
              </w:rPr>
            </w:pPr>
          </w:p>
        </w:tc>
      </w:tr>
      <w:tr>
        <w:trPr>
          <w:trHeight w:val="216"/>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Impairment and other</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147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147</w:t>
            </w:r>
          </w:p>
        </w:tc>
        <w:tc>
          <w:tcPr>
            <w:tcW w:w="0" w:type="dxa"/>
            <w:vAlign w:val="bottom"/>
          </w:tcPr>
          <w:p>
            <w:pPr>
              <w:spacing w:after="0"/>
              <w:rPr>
                <w:sz w:val="1"/>
                <w:szCs w:val="1"/>
                <w:color w:val="auto"/>
              </w:rPr>
            </w:pPr>
          </w:p>
        </w:tc>
      </w:tr>
      <w:tr>
        <w:trPr>
          <w:trHeight w:val="216"/>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Provision (Benefit) for Income Taxes</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379</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9</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388</w:t>
            </w:r>
          </w:p>
        </w:tc>
        <w:tc>
          <w:tcPr>
            <w:tcW w:w="0" w:type="dxa"/>
            <w:vAlign w:val="bottom"/>
          </w:tcPr>
          <w:p>
            <w:pPr>
              <w:spacing w:after="0"/>
              <w:rPr>
                <w:sz w:val="1"/>
                <w:szCs w:val="1"/>
                <w:color w:val="auto"/>
              </w:rPr>
            </w:pPr>
          </w:p>
        </w:tc>
      </w:tr>
      <w:tr>
        <w:trPr>
          <w:trHeight w:val="213"/>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Capital Expenditures</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1,145</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129</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1,274</w:t>
            </w:r>
          </w:p>
        </w:tc>
        <w:tc>
          <w:tcPr>
            <w:tcW w:w="0" w:type="dxa"/>
            <w:vAlign w:val="bottom"/>
          </w:tcPr>
          <w:p>
            <w:pPr>
              <w:spacing w:after="0"/>
              <w:rPr>
                <w:sz w:val="1"/>
                <w:szCs w:val="1"/>
                <w:color w:val="auto"/>
              </w:rPr>
            </w:pPr>
          </w:p>
        </w:tc>
      </w:tr>
      <w:tr>
        <w:trPr>
          <w:trHeight w:val="158"/>
        </w:trPr>
        <w:tc>
          <w:tcPr>
            <w:tcW w:w="5340" w:type="dxa"/>
            <w:vAlign w:val="bottom"/>
            <w:gridSpan w:val="3"/>
          </w:tcPr>
          <w:p>
            <w:pPr>
              <w:spacing w:after="0" w:line="158" w:lineRule="exact"/>
              <w:rPr>
                <w:sz w:val="20"/>
                <w:szCs w:val="20"/>
                <w:color w:val="auto"/>
              </w:rPr>
            </w:pPr>
            <w:r>
              <w:rPr>
                <w:rFonts w:ascii="Arial" w:cs="Arial" w:eastAsia="Arial" w:hAnsi="Arial"/>
                <w:sz w:val="14"/>
                <w:szCs w:val="14"/>
                <w:b w:val="1"/>
                <w:bCs w:val="1"/>
                <w:color w:val="auto"/>
              </w:rPr>
              <w:t>For the Nine Months Ended September 30, 2020</w:t>
            </w:r>
          </w:p>
        </w:tc>
        <w:tc>
          <w:tcPr>
            <w:tcW w:w="1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960" w:type="dxa"/>
            <w:vAlign w:val="bottom"/>
            <w:shd w:val="clear" w:color="auto" w:fill="000000"/>
          </w:tcPr>
          <w:p>
            <w:pPr>
              <w:spacing w:after="0" w:line="20" w:lineRule="exact"/>
              <w:rPr>
                <w:sz w:val="1"/>
                <w:szCs w:val="1"/>
                <w:color w:val="auto"/>
              </w:rPr>
            </w:pPr>
          </w:p>
        </w:tc>
        <w:tc>
          <w:tcPr>
            <w:tcW w:w="238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Sales and Other Operating Revenues - Third parties</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3,346</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3,346</w:t>
            </w:r>
          </w:p>
        </w:tc>
        <w:tc>
          <w:tcPr>
            <w:tcW w:w="0" w:type="dxa"/>
            <w:vAlign w:val="bottom"/>
          </w:tcPr>
          <w:p>
            <w:pPr>
              <w:spacing w:after="0"/>
              <w:rPr>
                <w:sz w:val="1"/>
                <w:szCs w:val="1"/>
                <w:color w:val="auto"/>
              </w:rPr>
            </w:pPr>
          </w:p>
        </w:tc>
      </w:tr>
      <w:tr>
        <w:trPr>
          <w:trHeight w:val="219"/>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Intersegment Revenues</w:t>
            </w:r>
          </w:p>
        </w:tc>
        <w:tc>
          <w:tcPr>
            <w:tcW w:w="1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825</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ind w:left="580"/>
              <w:spacing w:after="0"/>
              <w:rPr>
                <w:sz w:val="20"/>
                <w:szCs w:val="20"/>
                <w:color w:val="auto"/>
              </w:rPr>
            </w:pPr>
            <w:r>
              <w:rPr>
                <w:rFonts w:ascii="Arial" w:cs="Arial" w:eastAsia="Arial" w:hAnsi="Arial"/>
                <w:sz w:val="16"/>
                <w:szCs w:val="16"/>
                <w:color w:val="auto"/>
                <w:w w:val="96"/>
              </w:rPr>
              <w:t>(825)</w:t>
            </w:r>
          </w:p>
        </w:tc>
        <w:tc>
          <w:tcPr>
            <w:tcW w:w="1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2"/>
        </w:trPr>
        <w:tc>
          <w:tcPr>
            <w:tcW w:w="5340" w:type="dxa"/>
            <w:vAlign w:val="bottom"/>
            <w:gridSpan w:val="3"/>
          </w:tcPr>
          <w:p>
            <w:pPr>
              <w:ind w:left="200"/>
              <w:spacing w:after="0"/>
              <w:rPr>
                <w:sz w:val="20"/>
                <w:szCs w:val="20"/>
                <w:color w:val="auto"/>
              </w:rPr>
            </w:pPr>
            <w:r>
              <w:rPr>
                <w:rFonts w:ascii="Arial" w:cs="Arial" w:eastAsia="Arial" w:hAnsi="Arial"/>
                <w:sz w:val="16"/>
                <w:szCs w:val="16"/>
                <w:color w:val="auto"/>
              </w:rPr>
              <w:t>Sales and Other Operating Revenues</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3,346</w:t>
            </w:r>
          </w:p>
        </w:tc>
        <w:tc>
          <w:tcPr>
            <w:tcW w:w="1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825</w:t>
            </w:r>
          </w:p>
        </w:tc>
        <w:tc>
          <w:tcPr>
            <w:tcW w:w="10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tcPr>
          <w:p>
            <w:pPr>
              <w:ind w:left="580"/>
              <w:spacing w:after="0"/>
              <w:rPr>
                <w:sz w:val="20"/>
                <w:szCs w:val="20"/>
                <w:color w:val="auto"/>
              </w:rPr>
            </w:pPr>
            <w:r>
              <w:rPr>
                <w:rFonts w:ascii="Arial" w:cs="Arial" w:eastAsia="Arial" w:hAnsi="Arial"/>
                <w:sz w:val="16"/>
                <w:szCs w:val="16"/>
                <w:color w:val="auto"/>
                <w:w w:val="96"/>
              </w:rPr>
              <w:t>(825)</w:t>
            </w:r>
          </w:p>
        </w:tc>
        <w:tc>
          <w:tcPr>
            <w:tcW w:w="100" w:type="dxa"/>
            <w:vAlign w:val="bottom"/>
          </w:tcPr>
          <w:p>
            <w:pPr>
              <w:spacing w:after="0"/>
              <w:rPr>
                <w:sz w:val="18"/>
                <w:szCs w:val="18"/>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3,346</w:t>
            </w:r>
          </w:p>
        </w:tc>
        <w:tc>
          <w:tcPr>
            <w:tcW w:w="0" w:type="dxa"/>
            <w:vAlign w:val="bottom"/>
          </w:tcPr>
          <w:p>
            <w:pPr>
              <w:spacing w:after="0"/>
              <w:rPr>
                <w:sz w:val="1"/>
                <w:szCs w:val="1"/>
                <w:color w:val="auto"/>
              </w:rPr>
            </w:pPr>
          </w:p>
        </w:tc>
      </w:tr>
      <w:tr>
        <w:trPr>
          <w:trHeight w:val="21"/>
        </w:trPr>
        <w:tc>
          <w:tcPr>
            <w:tcW w:w="2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84"/>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Net Income (Loss) attributable to Hess Corporation</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(2,802)</w:t>
            </w:r>
          </w:p>
        </w:tc>
        <w:tc>
          <w:tcPr>
            <w:tcW w:w="12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168</w:t>
            </w:r>
          </w:p>
        </w:tc>
        <w:tc>
          <w:tcPr>
            <w:tcW w:w="10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(362)</w:t>
            </w:r>
          </w:p>
        </w:tc>
        <w:tc>
          <w:tcPr>
            <w:tcW w:w="12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(2,996)</w:t>
            </w:r>
          </w:p>
        </w:tc>
        <w:tc>
          <w:tcPr>
            <w:tcW w:w="0" w:type="dxa"/>
            <w:vAlign w:val="bottom"/>
          </w:tcPr>
          <w:p>
            <w:pPr>
              <w:spacing w:after="0"/>
              <w:rPr>
                <w:sz w:val="1"/>
                <w:szCs w:val="1"/>
                <w:color w:val="auto"/>
              </w:rPr>
            </w:pPr>
          </w:p>
        </w:tc>
      </w:tr>
      <w:tr>
        <w:trPr>
          <w:trHeight w:val="216"/>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Depreciation, Depletion and Amortization</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1,469</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117</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1,588</w:t>
            </w:r>
          </w:p>
        </w:tc>
        <w:tc>
          <w:tcPr>
            <w:tcW w:w="0" w:type="dxa"/>
            <w:vAlign w:val="bottom"/>
          </w:tcPr>
          <w:p>
            <w:pPr>
              <w:spacing w:after="0"/>
              <w:rPr>
                <w:sz w:val="1"/>
                <w:szCs w:val="1"/>
                <w:color w:val="auto"/>
              </w:rPr>
            </w:pPr>
          </w:p>
        </w:tc>
      </w:tr>
      <w:tr>
        <w:trPr>
          <w:trHeight w:val="216"/>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Impairment and other</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2,126</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2,126</w:t>
            </w:r>
          </w:p>
        </w:tc>
        <w:tc>
          <w:tcPr>
            <w:tcW w:w="0" w:type="dxa"/>
            <w:vAlign w:val="bottom"/>
          </w:tcPr>
          <w:p>
            <w:pPr>
              <w:spacing w:after="0"/>
              <w:rPr>
                <w:sz w:val="1"/>
                <w:szCs w:val="1"/>
                <w:color w:val="auto"/>
              </w:rPr>
            </w:pPr>
          </w:p>
        </w:tc>
      </w:tr>
      <w:tr>
        <w:trPr>
          <w:trHeight w:val="216"/>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Provision (Benefit) for Income Taxes</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(82)</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(6)</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(83)</w:t>
            </w:r>
          </w:p>
        </w:tc>
        <w:tc>
          <w:tcPr>
            <w:tcW w:w="0" w:type="dxa"/>
            <w:vAlign w:val="bottom"/>
          </w:tcPr>
          <w:p>
            <w:pPr>
              <w:spacing w:after="0"/>
              <w:rPr>
                <w:sz w:val="1"/>
                <w:szCs w:val="1"/>
                <w:color w:val="auto"/>
              </w:rPr>
            </w:pPr>
          </w:p>
        </w:tc>
      </w:tr>
      <w:tr>
        <w:trPr>
          <w:trHeight w:val="216"/>
        </w:trPr>
        <w:tc>
          <w:tcPr>
            <w:tcW w:w="5340" w:type="dxa"/>
            <w:vAlign w:val="bottom"/>
            <w:gridSpan w:val="3"/>
          </w:tcPr>
          <w:p>
            <w:pPr>
              <w:ind w:left="120"/>
              <w:spacing w:after="0"/>
              <w:rPr>
                <w:sz w:val="20"/>
                <w:szCs w:val="20"/>
                <w:color w:val="auto"/>
              </w:rPr>
            </w:pPr>
            <w:r>
              <w:rPr>
                <w:rFonts w:ascii="Arial" w:cs="Arial" w:eastAsia="Arial" w:hAnsi="Arial"/>
                <w:sz w:val="16"/>
                <w:szCs w:val="16"/>
                <w:color w:val="auto"/>
              </w:rPr>
              <w:t>Capital Expenditures</w:t>
            </w:r>
          </w:p>
        </w:tc>
        <w:tc>
          <w:tcPr>
            <w:tcW w:w="1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1,338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202</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060" w:type="dxa"/>
            <w:vAlign w:val="bottom"/>
            <w:gridSpan w:val="2"/>
          </w:tcPr>
          <w:p>
            <w:pPr>
              <w:ind w:left="72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1,540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4" w:name="page15"/>
    <w:bookmarkEnd w:id="14"/>
    <w:p>
      <w:pPr>
        <w:ind w:left="360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117" w:lineRule="exact"/>
        <w:rPr>
          <w:sz w:val="20"/>
          <w:szCs w:val="20"/>
          <w:color w:val="auto"/>
        </w:rPr>
      </w:pPr>
    </w:p>
    <w:p>
      <w:pPr>
        <w:ind w:left="308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Identifiable assets by operating segment were as follows:</w:t>
      </w:r>
    </w:p>
    <w:p>
      <w:pPr>
        <w:spacing w:after="0" w:line="24"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8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80" w:type="dxa"/>
            <w:vAlign w:val="bottom"/>
            <w:gridSpan w:val="2"/>
          </w:tcPr>
          <w:p>
            <w:pPr>
              <w:ind w:left="40"/>
              <w:spacing w:after="0"/>
              <w:rPr>
                <w:sz w:val="20"/>
                <w:szCs w:val="20"/>
                <w:color w:val="auto"/>
              </w:rPr>
            </w:pPr>
            <w:r>
              <w:rPr>
                <w:rFonts w:ascii="Arial" w:cs="Arial" w:eastAsia="Arial" w:hAnsi="Arial"/>
                <w:sz w:val="14"/>
                <w:szCs w:val="14"/>
                <w:b w:val="1"/>
                <w:bCs w:val="1"/>
                <w:color w:val="auto"/>
              </w:rPr>
              <w:t>September 30,</w:t>
            </w:r>
          </w:p>
        </w:tc>
        <w:tc>
          <w:tcPr>
            <w:tcW w:w="120" w:type="dxa"/>
            <w:vAlign w:val="bottom"/>
          </w:tcPr>
          <w:p>
            <w:pPr>
              <w:spacing w:after="0"/>
              <w:rPr>
                <w:sz w:val="14"/>
                <w:szCs w:val="14"/>
                <w:color w:val="auto"/>
              </w:rPr>
            </w:pPr>
          </w:p>
        </w:tc>
        <w:tc>
          <w:tcPr>
            <w:tcW w:w="1060" w:type="dxa"/>
            <w:vAlign w:val="bottom"/>
          </w:tcPr>
          <w:p>
            <w:pPr>
              <w:jc w:val="right"/>
              <w:ind w:right="102"/>
              <w:spacing w:after="0"/>
              <w:rPr>
                <w:sz w:val="20"/>
                <w:szCs w:val="20"/>
                <w:color w:val="auto"/>
              </w:rPr>
            </w:pPr>
            <w:r>
              <w:rPr>
                <w:rFonts w:ascii="Arial" w:cs="Arial" w:eastAsia="Arial" w:hAnsi="Arial"/>
                <w:sz w:val="14"/>
                <w:szCs w:val="14"/>
                <w:b w:val="1"/>
                <w:bCs w:val="1"/>
                <w:color w:val="auto"/>
                <w:w w:val="94"/>
              </w:rPr>
              <w:t>December 31,</w:t>
            </w:r>
          </w:p>
        </w:tc>
      </w:tr>
      <w:tr>
        <w:trPr>
          <w:trHeight w:val="188"/>
        </w:trPr>
        <w:tc>
          <w:tcPr>
            <w:tcW w:w="87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63"/>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2020</w:t>
            </w:r>
          </w:p>
        </w:tc>
      </w:tr>
      <w:tr>
        <w:trPr>
          <w:trHeight w:val="212"/>
        </w:trPr>
        <w:tc>
          <w:tcPr>
            <w:tcW w:w="8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360" w:type="dxa"/>
            <w:vAlign w:val="bottom"/>
            <w:gridSpan w:val="4"/>
          </w:tcPr>
          <w:p>
            <w:pPr>
              <w:jc w:val="right"/>
              <w:ind w:right="782"/>
              <w:spacing w:after="0"/>
              <w:rPr>
                <w:sz w:val="20"/>
                <w:szCs w:val="20"/>
                <w:color w:val="auto"/>
              </w:rPr>
            </w:pPr>
            <w:r>
              <w:rPr>
                <w:rFonts w:ascii="Arial" w:cs="Arial" w:eastAsia="Arial" w:hAnsi="Arial"/>
                <w:sz w:val="14"/>
                <w:szCs w:val="14"/>
                <w:b w:val="1"/>
                <w:bCs w:val="1"/>
                <w:color w:val="auto"/>
              </w:rPr>
              <w:t>(In millions)</w:t>
            </w:r>
          </w:p>
        </w:tc>
      </w:tr>
      <w:tr>
        <w:trPr>
          <w:trHeight w:val="222"/>
        </w:trPr>
        <w:tc>
          <w:tcPr>
            <w:tcW w:w="8740" w:type="dxa"/>
            <w:vAlign w:val="bottom"/>
          </w:tcPr>
          <w:p>
            <w:pPr>
              <w:spacing w:after="0"/>
              <w:rPr>
                <w:sz w:val="20"/>
                <w:szCs w:val="20"/>
                <w:color w:val="auto"/>
              </w:rPr>
            </w:pPr>
            <w:r>
              <w:rPr>
                <w:rFonts w:ascii="Arial" w:cs="Arial" w:eastAsia="Arial" w:hAnsi="Arial"/>
                <w:sz w:val="16"/>
                <w:szCs w:val="16"/>
                <w:color w:val="auto"/>
              </w:rPr>
              <w:t>Exploration and Production</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13,648</w:t>
            </w:r>
          </w:p>
        </w:tc>
        <w:tc>
          <w:tcPr>
            <w:tcW w:w="12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13,688</w:t>
            </w:r>
          </w:p>
        </w:tc>
      </w:tr>
      <w:tr>
        <w:trPr>
          <w:trHeight w:val="216"/>
        </w:trPr>
        <w:tc>
          <w:tcPr>
            <w:tcW w:w="8740" w:type="dxa"/>
            <w:vAlign w:val="bottom"/>
          </w:tcPr>
          <w:p>
            <w:pPr>
              <w:spacing w:after="0"/>
              <w:rPr>
                <w:sz w:val="20"/>
                <w:szCs w:val="20"/>
                <w:color w:val="auto"/>
              </w:rPr>
            </w:pPr>
            <w:r>
              <w:rPr>
                <w:rFonts w:ascii="Arial" w:cs="Arial" w:eastAsia="Arial" w:hAnsi="Arial"/>
                <w:sz w:val="16"/>
                <w:szCs w:val="16"/>
                <w:color w:val="auto"/>
              </w:rPr>
              <w:t>Midstream</w:t>
            </w: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3,627</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3,599</w:t>
            </w:r>
          </w:p>
        </w:tc>
      </w:tr>
      <w:tr>
        <w:trPr>
          <w:trHeight w:val="219"/>
        </w:trPr>
        <w:tc>
          <w:tcPr>
            <w:tcW w:w="8740" w:type="dxa"/>
            <w:vAlign w:val="bottom"/>
          </w:tcPr>
          <w:p>
            <w:pPr>
              <w:spacing w:after="0"/>
              <w:rPr>
                <w:sz w:val="20"/>
                <w:szCs w:val="20"/>
                <w:color w:val="auto"/>
              </w:rPr>
            </w:pPr>
            <w:r>
              <w:rPr>
                <w:rFonts w:ascii="Arial" w:cs="Arial" w:eastAsia="Arial" w:hAnsi="Arial"/>
                <w:sz w:val="16"/>
                <w:szCs w:val="16"/>
                <w:color w:val="auto"/>
              </w:rPr>
              <w:t>Corporate, Interest and Other</w:t>
            </w:r>
          </w:p>
        </w:tc>
        <w:tc>
          <w:tcPr>
            <w:tcW w:w="1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2,215</w:t>
            </w:r>
          </w:p>
        </w:tc>
        <w:tc>
          <w:tcPr>
            <w:tcW w:w="1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1,534</w:t>
            </w:r>
          </w:p>
        </w:tc>
      </w:tr>
      <w:tr>
        <w:trPr>
          <w:trHeight w:val="213"/>
        </w:trPr>
        <w:tc>
          <w:tcPr>
            <w:tcW w:w="8740" w:type="dxa"/>
            <w:vAlign w:val="bottom"/>
          </w:tcPr>
          <w:p>
            <w:pPr>
              <w:ind w:left="120"/>
              <w:spacing w:after="0"/>
              <w:rPr>
                <w:sz w:val="20"/>
                <w:szCs w:val="20"/>
                <w:color w:val="auto"/>
              </w:rPr>
            </w:pPr>
            <w:r>
              <w:rPr>
                <w:rFonts w:ascii="Arial" w:cs="Arial" w:eastAsia="Arial" w:hAnsi="Arial"/>
                <w:sz w:val="16"/>
                <w:szCs w:val="16"/>
                <w:color w:val="auto"/>
              </w:rPr>
              <w:t>Total</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19,490</w:t>
            </w:r>
          </w:p>
        </w:tc>
        <w:tc>
          <w:tcPr>
            <w:tcW w:w="12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18,821</w:t>
            </w:r>
          </w:p>
        </w:tc>
      </w:tr>
      <w:tr>
        <w:trPr>
          <w:trHeight w:val="20"/>
        </w:trPr>
        <w:tc>
          <w:tcPr>
            <w:tcW w:w="87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Financial Risk Management Activities</w:t>
      </w:r>
    </w:p>
    <w:p>
      <w:pPr>
        <w:spacing w:after="0" w:line="12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 the normal course of our business, we are exposed to commodity risks related to changes in the prices of crude oil and natural gas. Financial risk management activities include transactions designed to reduce risk in the selling prices of the crude oil or natural gas we produce or by reducing our exposure to foreign currency or interest rate movements. Generally, futures, swaps or option strategies may be used to fix the forward selling price, or establish a floor price or a range banded with a floor and ceiling price, for a portion of our crude oil or natural gas production. Forward or swap strategies may be used to reduce exposure to foreign currency fluctuations for currencies in which we conduct business. At September 30, 2021, these forward and swap strategies relate to the British Pound, Canadian Dollar and Malaysian Ringgit. Interest rate swaps may be used to convert interest payments on certain long-term debt from fixed to floating rates.</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color w:val="auto"/>
        </w:rPr>
        <w:t>The notional amounts of outstanding financial risk management derivative contracts were as follows:</w:t>
      </w:r>
    </w:p>
    <w:p>
      <w:pPr>
        <w:spacing w:after="0" w:line="119"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8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80" w:type="dxa"/>
            <w:vAlign w:val="bottom"/>
            <w:gridSpan w:val="2"/>
          </w:tcPr>
          <w:p>
            <w:pPr>
              <w:ind w:left="40"/>
              <w:spacing w:after="0"/>
              <w:rPr>
                <w:sz w:val="20"/>
                <w:szCs w:val="20"/>
                <w:color w:val="auto"/>
              </w:rPr>
            </w:pPr>
            <w:r>
              <w:rPr>
                <w:rFonts w:ascii="Arial" w:cs="Arial" w:eastAsia="Arial" w:hAnsi="Arial"/>
                <w:sz w:val="14"/>
                <w:szCs w:val="14"/>
                <w:b w:val="1"/>
                <w:bCs w:val="1"/>
                <w:color w:val="auto"/>
              </w:rPr>
              <w:t>September 30,</w:t>
            </w:r>
          </w:p>
        </w:tc>
        <w:tc>
          <w:tcPr>
            <w:tcW w:w="120" w:type="dxa"/>
            <w:vAlign w:val="bottom"/>
          </w:tcPr>
          <w:p>
            <w:pPr>
              <w:spacing w:after="0"/>
              <w:rPr>
                <w:sz w:val="14"/>
                <w:szCs w:val="14"/>
                <w:color w:val="auto"/>
              </w:rPr>
            </w:pPr>
          </w:p>
        </w:tc>
        <w:tc>
          <w:tcPr>
            <w:tcW w:w="1060" w:type="dxa"/>
            <w:vAlign w:val="bottom"/>
          </w:tcPr>
          <w:p>
            <w:pPr>
              <w:jc w:val="right"/>
              <w:ind w:right="103"/>
              <w:spacing w:after="0"/>
              <w:rPr>
                <w:sz w:val="20"/>
                <w:szCs w:val="20"/>
                <w:color w:val="auto"/>
              </w:rPr>
            </w:pPr>
            <w:r>
              <w:rPr>
                <w:rFonts w:ascii="Arial" w:cs="Arial" w:eastAsia="Arial" w:hAnsi="Arial"/>
                <w:sz w:val="14"/>
                <w:szCs w:val="14"/>
                <w:b w:val="1"/>
                <w:bCs w:val="1"/>
                <w:color w:val="auto"/>
                <w:w w:val="94"/>
              </w:rPr>
              <w:t>December 31,</w:t>
            </w:r>
          </w:p>
        </w:tc>
      </w:tr>
      <w:tr>
        <w:trPr>
          <w:trHeight w:val="188"/>
        </w:trPr>
        <w:tc>
          <w:tcPr>
            <w:tcW w:w="87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64"/>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383"/>
              <w:spacing w:after="0"/>
              <w:rPr>
                <w:sz w:val="20"/>
                <w:szCs w:val="20"/>
                <w:color w:val="auto"/>
              </w:rPr>
            </w:pPr>
            <w:r>
              <w:rPr>
                <w:rFonts w:ascii="Arial" w:cs="Arial" w:eastAsia="Arial" w:hAnsi="Arial"/>
                <w:sz w:val="14"/>
                <w:szCs w:val="14"/>
                <w:b w:val="1"/>
                <w:bCs w:val="1"/>
                <w:color w:val="auto"/>
              </w:rPr>
              <w:t>2020</w:t>
            </w:r>
          </w:p>
        </w:tc>
      </w:tr>
      <w:tr>
        <w:trPr>
          <w:trHeight w:val="212"/>
        </w:trPr>
        <w:tc>
          <w:tcPr>
            <w:tcW w:w="8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360" w:type="dxa"/>
            <w:vAlign w:val="bottom"/>
            <w:gridSpan w:val="4"/>
          </w:tcPr>
          <w:p>
            <w:pPr>
              <w:jc w:val="right"/>
              <w:ind w:right="783"/>
              <w:spacing w:after="0"/>
              <w:rPr>
                <w:sz w:val="20"/>
                <w:szCs w:val="20"/>
                <w:color w:val="auto"/>
              </w:rPr>
            </w:pPr>
            <w:r>
              <w:rPr>
                <w:rFonts w:ascii="Arial" w:cs="Arial" w:eastAsia="Arial" w:hAnsi="Arial"/>
                <w:sz w:val="14"/>
                <w:szCs w:val="14"/>
                <w:b w:val="1"/>
                <w:bCs w:val="1"/>
                <w:color w:val="auto"/>
              </w:rPr>
              <w:t>(In millions)</w:t>
            </w:r>
          </w:p>
        </w:tc>
      </w:tr>
      <w:tr>
        <w:trPr>
          <w:trHeight w:val="222"/>
        </w:trPr>
        <w:tc>
          <w:tcPr>
            <w:tcW w:w="8740" w:type="dxa"/>
            <w:vAlign w:val="bottom"/>
          </w:tcPr>
          <w:p>
            <w:pPr>
              <w:spacing w:after="0"/>
              <w:rPr>
                <w:sz w:val="20"/>
                <w:szCs w:val="20"/>
                <w:color w:val="auto"/>
              </w:rPr>
            </w:pPr>
            <w:r>
              <w:rPr>
                <w:rFonts w:ascii="Arial" w:cs="Arial" w:eastAsia="Arial" w:hAnsi="Arial"/>
                <w:sz w:val="16"/>
                <w:szCs w:val="16"/>
                <w:color w:val="auto"/>
              </w:rPr>
              <w:t>Commodity - crude oil put options / collars (millions of barrels)</w:t>
            </w:r>
          </w:p>
        </w:tc>
        <w:tc>
          <w:tcPr>
            <w:tcW w:w="1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54.0</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27.4</w:t>
            </w:r>
          </w:p>
        </w:tc>
      </w:tr>
      <w:tr>
        <w:trPr>
          <w:trHeight w:val="216"/>
        </w:trPr>
        <w:tc>
          <w:tcPr>
            <w:tcW w:w="8740" w:type="dxa"/>
            <w:vAlign w:val="bottom"/>
          </w:tcPr>
          <w:p>
            <w:pPr>
              <w:spacing w:after="0"/>
              <w:rPr>
                <w:sz w:val="20"/>
                <w:szCs w:val="20"/>
                <w:color w:val="auto"/>
              </w:rPr>
            </w:pPr>
            <w:r>
              <w:rPr>
                <w:rFonts w:ascii="Arial" w:cs="Arial" w:eastAsia="Arial" w:hAnsi="Arial"/>
                <w:sz w:val="16"/>
                <w:szCs w:val="16"/>
                <w:color w:val="auto"/>
              </w:rPr>
              <w:t>Foreign exchange forwards</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135</w:t>
            </w: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163</w:t>
            </w:r>
          </w:p>
        </w:tc>
      </w:tr>
      <w:tr>
        <w:trPr>
          <w:trHeight w:val="216"/>
        </w:trPr>
        <w:tc>
          <w:tcPr>
            <w:tcW w:w="8740" w:type="dxa"/>
            <w:vAlign w:val="bottom"/>
          </w:tcPr>
          <w:p>
            <w:pPr>
              <w:spacing w:after="0"/>
              <w:rPr>
                <w:sz w:val="20"/>
                <w:szCs w:val="20"/>
                <w:color w:val="auto"/>
              </w:rPr>
            </w:pPr>
            <w:r>
              <w:rPr>
                <w:rFonts w:ascii="Arial" w:cs="Arial" w:eastAsia="Arial" w:hAnsi="Arial"/>
                <w:sz w:val="16"/>
                <w:szCs w:val="16"/>
                <w:color w:val="auto"/>
              </w:rPr>
              <w:t>Interest rate swaps</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100</w:t>
            </w: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100</w:t>
            </w:r>
          </w:p>
        </w:tc>
      </w:tr>
    </w:tbl>
    <w:p>
      <w:pPr>
        <w:spacing w:after="0" w:line="1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As of September 30, 2021, we have West Texas Intermediate (WTI) put options for 120,000 barrels of oil per day (bopd) with an average monthly floor price of $55 per barrel and Brent put options for 30,000 bopd with an average monthly floor price of $60 per barrel for the remainder of 2021. For calendar 2022, we have WTI collars with an average monthly floor price of $60 per barrel and an average monthly ceiling price of $90 per barrel for 80,000 bopd and Brent collars with an average monthly floor price of $65 per barrel and an average monthly ceiling price of $95 per barrel for 30,000 bopd. See </w:t>
      </w:r>
      <w:r>
        <w:rPr>
          <w:rFonts w:ascii="Arial" w:cs="Arial" w:eastAsia="Arial" w:hAnsi="Arial"/>
          <w:sz w:val="18"/>
          <w:szCs w:val="18"/>
          <w:i w:val="1"/>
          <w:iCs w:val="1"/>
          <w:color w:val="auto"/>
        </w:rPr>
        <w:t>Note</w:t>
      </w:r>
      <w:r>
        <w:rPr>
          <w:rFonts w:ascii="Arial" w:cs="Arial" w:eastAsia="Arial" w:hAnsi="Arial"/>
          <w:sz w:val="18"/>
          <w:szCs w:val="18"/>
          <w:color w:val="auto"/>
        </w:rPr>
        <w:t xml:space="preserve"> </w:t>
      </w:r>
      <w:r>
        <w:rPr>
          <w:rFonts w:ascii="Arial" w:cs="Arial" w:eastAsia="Arial" w:hAnsi="Arial"/>
          <w:sz w:val="18"/>
          <w:szCs w:val="18"/>
          <w:i w:val="1"/>
          <w:iCs w:val="1"/>
          <w:color w:val="auto"/>
        </w:rPr>
        <w:t>14</w:t>
      </w:r>
      <w:r>
        <w:rPr>
          <w:rFonts w:ascii="Arial" w:cs="Arial" w:eastAsia="Arial" w:hAnsi="Arial"/>
          <w:sz w:val="18"/>
          <w:szCs w:val="18"/>
          <w:color w:val="auto"/>
        </w:rPr>
        <w:t>,</w:t>
      </w:r>
      <w:r>
        <w:rPr>
          <w:rFonts w:ascii="Arial" w:cs="Arial" w:eastAsia="Arial" w:hAnsi="Arial"/>
          <w:sz w:val="18"/>
          <w:szCs w:val="18"/>
          <w:i w:val="1"/>
          <w:iCs w:val="1"/>
          <w:color w:val="auto"/>
        </w:rPr>
        <w:t xml:space="preserve"> Subsequent Events.</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5" w:name="page16"/>
    <w:bookmarkEnd w:id="15"/>
    <w:p>
      <w:pPr>
        <w:ind w:left="360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117" w:lineRule="exact"/>
        <w:rPr>
          <w:sz w:val="20"/>
          <w:szCs w:val="20"/>
          <w:color w:val="auto"/>
        </w:rPr>
      </w:pPr>
    </w:p>
    <w:p>
      <w:pPr>
        <w:ind w:left="308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color w:val="auto"/>
        </w:rPr>
        <w:t>The table below reflects the fair values of risk management derivative instruments.</w:t>
      </w:r>
    </w:p>
    <w:p>
      <w:pPr>
        <w:spacing w:after="0" w:line="149"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1360" w:type="dxa"/>
            <w:vAlign w:val="bottom"/>
          </w:tcPr>
          <w:p>
            <w:pPr>
              <w:spacing w:after="0"/>
              <w:rPr>
                <w:sz w:val="16"/>
                <w:szCs w:val="16"/>
                <w:color w:val="auto"/>
              </w:rPr>
            </w:pPr>
          </w:p>
        </w:tc>
        <w:tc>
          <w:tcPr>
            <w:tcW w:w="7380" w:type="dxa"/>
            <w:vAlign w:val="bottom"/>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Assets</w:t>
            </w:r>
          </w:p>
        </w:tc>
        <w:tc>
          <w:tcPr>
            <w:tcW w:w="3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180" w:type="dxa"/>
            <w:vAlign w:val="bottom"/>
            <w:tcBorders>
              <w:bottom w:val="single" w:sz="8" w:color="auto"/>
            </w:tcBorders>
            <w:gridSpan w:val="2"/>
          </w:tcPr>
          <w:p>
            <w:pPr>
              <w:jc w:val="right"/>
              <w:ind w:right="199"/>
              <w:spacing w:after="0"/>
              <w:rPr>
                <w:sz w:val="20"/>
                <w:szCs w:val="20"/>
                <w:color w:val="auto"/>
              </w:rPr>
            </w:pPr>
            <w:r>
              <w:rPr>
                <w:rFonts w:ascii="Arial" w:cs="Arial" w:eastAsia="Arial" w:hAnsi="Arial"/>
                <w:sz w:val="14"/>
                <w:szCs w:val="14"/>
                <w:b w:val="1"/>
                <w:bCs w:val="1"/>
                <w:color w:val="auto"/>
              </w:rPr>
              <w:t>Liabilities</w:t>
            </w:r>
          </w:p>
        </w:tc>
        <w:tc>
          <w:tcPr>
            <w:tcW w:w="0" w:type="dxa"/>
            <w:vAlign w:val="bottom"/>
          </w:tcPr>
          <w:p>
            <w:pPr>
              <w:spacing w:after="0"/>
              <w:rPr>
                <w:sz w:val="1"/>
                <w:szCs w:val="1"/>
                <w:color w:val="auto"/>
              </w:rPr>
            </w:pPr>
          </w:p>
        </w:tc>
      </w:tr>
      <w:tr>
        <w:trPr>
          <w:trHeight w:val="217"/>
        </w:trPr>
        <w:tc>
          <w:tcPr>
            <w:tcW w:w="1360" w:type="dxa"/>
            <w:vAlign w:val="bottom"/>
          </w:tcPr>
          <w:p>
            <w:pPr>
              <w:spacing w:after="0"/>
              <w:rPr>
                <w:sz w:val="18"/>
                <w:szCs w:val="18"/>
                <w:color w:val="auto"/>
              </w:rPr>
            </w:pPr>
          </w:p>
        </w:tc>
        <w:tc>
          <w:tcPr>
            <w:tcW w:w="73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80" w:type="dxa"/>
            <w:vAlign w:val="bottom"/>
            <w:gridSpan w:val="3"/>
          </w:tcPr>
          <w:p>
            <w:pPr>
              <w:jc w:val="right"/>
              <w:ind w:right="201"/>
              <w:spacing w:after="0"/>
              <w:rPr>
                <w:sz w:val="20"/>
                <w:szCs w:val="20"/>
                <w:color w:val="auto"/>
              </w:rPr>
            </w:pPr>
            <w:r>
              <w:rPr>
                <w:rFonts w:ascii="Arial" w:cs="Arial" w:eastAsia="Arial" w:hAnsi="Arial"/>
                <w:sz w:val="14"/>
                <w:szCs w:val="14"/>
                <w:b w:val="1"/>
                <w:bCs w:val="1"/>
                <w:color w:val="auto"/>
                <w:w w:val="99"/>
              </w:rPr>
              <w:t>(In millions)</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8"/>
        </w:trPr>
        <w:tc>
          <w:tcPr>
            <w:tcW w:w="8740" w:type="dxa"/>
            <w:vAlign w:val="bottom"/>
            <w:gridSpan w:val="2"/>
          </w:tcPr>
          <w:p>
            <w:pPr>
              <w:spacing w:after="0"/>
              <w:rPr>
                <w:sz w:val="20"/>
                <w:szCs w:val="20"/>
                <w:color w:val="auto"/>
              </w:rPr>
            </w:pPr>
            <w:r>
              <w:rPr>
                <w:rFonts w:ascii="Arial" w:cs="Arial" w:eastAsia="Arial" w:hAnsi="Arial"/>
                <w:sz w:val="16"/>
                <w:szCs w:val="16"/>
                <w:b w:val="1"/>
                <w:bCs w:val="1"/>
                <w:color w:val="auto"/>
              </w:rPr>
              <w:t>September 30, 2021</w:t>
            </w:r>
          </w:p>
        </w:tc>
        <w:tc>
          <w:tcPr>
            <w:tcW w:w="8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360" w:type="dxa"/>
            <w:vAlign w:val="bottom"/>
            <w:tcBorders>
              <w:right w:val="single" w:sz="8" w:color="auto"/>
            </w:tcBorders>
            <w:shd w:val="clear" w:color="auto" w:fill="000000"/>
          </w:tcPr>
          <w:p>
            <w:pPr>
              <w:spacing w:after="0" w:line="20" w:lineRule="exact"/>
              <w:rPr>
                <w:sz w:val="1"/>
                <w:szCs w:val="1"/>
                <w:color w:val="auto"/>
              </w:rPr>
            </w:pPr>
          </w:p>
        </w:tc>
        <w:tc>
          <w:tcPr>
            <w:tcW w:w="73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1"/>
        </w:trPr>
        <w:tc>
          <w:tcPr>
            <w:tcW w:w="8740" w:type="dxa"/>
            <w:vAlign w:val="bottom"/>
            <w:gridSpan w:val="2"/>
          </w:tcPr>
          <w:p>
            <w:pPr>
              <w:ind w:left="120"/>
              <w:spacing w:after="0"/>
              <w:rPr>
                <w:sz w:val="20"/>
                <w:szCs w:val="20"/>
                <w:color w:val="auto"/>
              </w:rPr>
            </w:pPr>
            <w:r>
              <w:rPr>
                <w:rFonts w:ascii="Arial" w:cs="Arial" w:eastAsia="Arial" w:hAnsi="Arial"/>
                <w:sz w:val="16"/>
                <w:szCs w:val="16"/>
                <w:color w:val="auto"/>
              </w:rPr>
              <w:t>Derivative Contracts Designated as Hedging Instruments:</w:t>
            </w:r>
          </w:p>
        </w:tc>
        <w:tc>
          <w:tcPr>
            <w:tcW w:w="8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740" w:type="dxa"/>
            <w:vAlign w:val="bottom"/>
            <w:gridSpan w:val="2"/>
          </w:tcPr>
          <w:p>
            <w:pPr>
              <w:ind w:left="200"/>
              <w:spacing w:after="0"/>
              <w:rPr>
                <w:sz w:val="20"/>
                <w:szCs w:val="20"/>
                <w:color w:val="auto"/>
              </w:rPr>
            </w:pPr>
            <w:r>
              <w:rPr>
                <w:rFonts w:ascii="Arial" w:cs="Arial" w:eastAsia="Arial" w:hAnsi="Arial"/>
                <w:sz w:val="16"/>
                <w:szCs w:val="16"/>
                <w:color w:val="auto"/>
              </w:rPr>
              <w:t>Crude oil put options / collars</w:t>
            </w:r>
          </w:p>
        </w:tc>
        <w:tc>
          <w:tcPr>
            <w:tcW w:w="820" w:type="dxa"/>
            <w:vAlign w:val="bottom"/>
          </w:tcPr>
          <w:p>
            <w:pPr>
              <w:jc w:val="right"/>
              <w:ind w:right="641"/>
              <w:spacing w:after="0"/>
              <w:rPr>
                <w:sz w:val="20"/>
                <w:szCs w:val="20"/>
                <w:color w:val="auto"/>
              </w:rPr>
            </w:pPr>
            <w:r>
              <w:rPr>
                <w:rFonts w:ascii="Arial" w:cs="Arial" w:eastAsia="Arial" w:hAnsi="Arial"/>
                <w:sz w:val="16"/>
                <w:szCs w:val="16"/>
                <w:color w:val="auto"/>
                <w:w w:val="89"/>
              </w:rPr>
              <w:t>$</w:t>
            </w:r>
          </w:p>
        </w:tc>
        <w:tc>
          <w:tcPr>
            <w:tcW w:w="360" w:type="dxa"/>
            <w:vAlign w:val="bottom"/>
          </w:tcPr>
          <w:p>
            <w:pPr>
              <w:jc w:val="right"/>
              <w:spacing w:after="0"/>
              <w:rPr>
                <w:sz w:val="20"/>
                <w:szCs w:val="20"/>
                <w:color w:val="auto"/>
              </w:rPr>
            </w:pPr>
            <w:r>
              <w:rPr>
                <w:rFonts w:ascii="Arial" w:cs="Arial" w:eastAsia="Arial" w:hAnsi="Arial"/>
                <w:sz w:val="16"/>
                <w:szCs w:val="16"/>
                <w:color w:val="auto"/>
              </w:rPr>
              <w:t>106</w:t>
            </w:r>
          </w:p>
        </w:tc>
        <w:tc>
          <w:tcPr>
            <w:tcW w:w="120" w:type="dxa"/>
            <w:vAlign w:val="bottom"/>
          </w:tcPr>
          <w:p>
            <w:pPr>
              <w:spacing w:after="0"/>
              <w:rPr>
                <w:sz w:val="18"/>
                <w:szCs w:val="18"/>
                <w:color w:val="auto"/>
              </w:rPr>
            </w:pPr>
          </w:p>
        </w:tc>
        <w:tc>
          <w:tcPr>
            <w:tcW w:w="600" w:type="dxa"/>
            <w:vAlign w:val="bottom"/>
          </w:tcPr>
          <w:p>
            <w:pPr>
              <w:jc w:val="right"/>
              <w:ind w:right="421"/>
              <w:spacing w:after="0"/>
              <w:rPr>
                <w:sz w:val="20"/>
                <w:szCs w:val="20"/>
                <w:color w:val="auto"/>
              </w:rPr>
            </w:pPr>
            <w:r>
              <w:rPr>
                <w:rFonts w:ascii="Arial" w:cs="Arial" w:eastAsia="Arial" w:hAnsi="Arial"/>
                <w:sz w:val="16"/>
                <w:szCs w:val="16"/>
                <w:color w:val="auto"/>
                <w:w w:val="89"/>
              </w:rPr>
              <w:t>$</w:t>
            </w:r>
          </w:p>
        </w:tc>
        <w:tc>
          <w:tcPr>
            <w:tcW w:w="5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8740" w:type="dxa"/>
            <w:vAlign w:val="bottom"/>
            <w:gridSpan w:val="2"/>
          </w:tcPr>
          <w:p>
            <w:pPr>
              <w:ind w:left="200"/>
              <w:spacing w:after="0"/>
              <w:rPr>
                <w:sz w:val="20"/>
                <w:szCs w:val="20"/>
                <w:color w:val="auto"/>
              </w:rPr>
            </w:pPr>
            <w:r>
              <w:rPr>
                <w:rFonts w:ascii="Arial" w:cs="Arial" w:eastAsia="Arial" w:hAnsi="Arial"/>
                <w:sz w:val="16"/>
                <w:szCs w:val="16"/>
                <w:color w:val="auto"/>
              </w:rPr>
              <w:t>Interest rate swaps</w:t>
            </w:r>
          </w:p>
        </w:tc>
        <w:tc>
          <w:tcPr>
            <w:tcW w:w="82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0"/>
        </w:trPr>
        <w:tc>
          <w:tcPr>
            <w:tcW w:w="8740" w:type="dxa"/>
            <w:vAlign w:val="bottom"/>
            <w:gridSpan w:val="2"/>
          </w:tcPr>
          <w:p>
            <w:pPr>
              <w:ind w:left="200"/>
              <w:spacing w:after="0"/>
              <w:rPr>
                <w:sz w:val="20"/>
                <w:szCs w:val="20"/>
                <w:color w:val="auto"/>
              </w:rPr>
            </w:pPr>
            <w:r>
              <w:rPr>
                <w:rFonts w:ascii="Arial" w:cs="Arial" w:eastAsia="Arial" w:hAnsi="Arial"/>
                <w:sz w:val="16"/>
                <w:szCs w:val="16"/>
                <w:color w:val="auto"/>
              </w:rPr>
              <w:t>Total derivative contracts designated as hedging instruments</w:t>
            </w:r>
          </w:p>
        </w:tc>
        <w:tc>
          <w:tcPr>
            <w:tcW w:w="82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110</w:t>
            </w:r>
          </w:p>
        </w:tc>
        <w:tc>
          <w:tcPr>
            <w:tcW w:w="120" w:type="dxa"/>
            <w:vAlign w:val="bottom"/>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6"/>
        </w:trPr>
        <w:tc>
          <w:tcPr>
            <w:tcW w:w="8740" w:type="dxa"/>
            <w:vAlign w:val="bottom"/>
            <w:gridSpan w:val="2"/>
          </w:tcPr>
          <w:p>
            <w:pPr>
              <w:ind w:left="120"/>
              <w:spacing w:after="0"/>
              <w:rPr>
                <w:sz w:val="20"/>
                <w:szCs w:val="20"/>
                <w:color w:val="auto"/>
              </w:rPr>
            </w:pPr>
            <w:r>
              <w:rPr>
                <w:rFonts w:ascii="Arial" w:cs="Arial" w:eastAsia="Arial" w:hAnsi="Arial"/>
                <w:sz w:val="16"/>
                <w:szCs w:val="16"/>
                <w:color w:val="auto"/>
              </w:rPr>
              <w:t>Derivative Contracts Not Designated as Hedging Instruments:</w:t>
            </w:r>
          </w:p>
        </w:tc>
        <w:tc>
          <w:tcPr>
            <w:tcW w:w="8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8740" w:type="dxa"/>
            <w:vAlign w:val="bottom"/>
            <w:gridSpan w:val="2"/>
          </w:tcPr>
          <w:p>
            <w:pPr>
              <w:ind w:left="200"/>
              <w:spacing w:after="0"/>
              <w:rPr>
                <w:sz w:val="20"/>
                <w:szCs w:val="20"/>
                <w:color w:val="auto"/>
              </w:rPr>
            </w:pPr>
            <w:r>
              <w:rPr>
                <w:rFonts w:ascii="Arial" w:cs="Arial" w:eastAsia="Arial" w:hAnsi="Arial"/>
                <w:sz w:val="16"/>
                <w:szCs w:val="16"/>
                <w:color w:val="auto"/>
              </w:rPr>
              <w:t>Foreign exchange forwards / swaps</w:t>
            </w:r>
          </w:p>
        </w:tc>
        <w:tc>
          <w:tcPr>
            <w:tcW w:w="82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0"/>
        </w:trPr>
        <w:tc>
          <w:tcPr>
            <w:tcW w:w="8740" w:type="dxa"/>
            <w:vAlign w:val="bottom"/>
            <w:gridSpan w:val="2"/>
          </w:tcPr>
          <w:p>
            <w:pPr>
              <w:ind w:left="200"/>
              <w:spacing w:after="0"/>
              <w:rPr>
                <w:sz w:val="20"/>
                <w:szCs w:val="20"/>
                <w:color w:val="auto"/>
              </w:rPr>
            </w:pPr>
            <w:r>
              <w:rPr>
                <w:rFonts w:ascii="Arial" w:cs="Arial" w:eastAsia="Arial" w:hAnsi="Arial"/>
                <w:sz w:val="16"/>
                <w:szCs w:val="16"/>
                <w:color w:val="auto"/>
              </w:rPr>
              <w:t>Total derivative contracts not designated as hedging instruments</w:t>
            </w:r>
          </w:p>
        </w:tc>
        <w:tc>
          <w:tcPr>
            <w:tcW w:w="82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9"/>
        </w:trPr>
        <w:tc>
          <w:tcPr>
            <w:tcW w:w="8740" w:type="dxa"/>
            <w:vAlign w:val="bottom"/>
            <w:gridSpan w:val="2"/>
          </w:tcPr>
          <w:p>
            <w:pPr>
              <w:ind w:left="340"/>
              <w:spacing w:after="0"/>
              <w:rPr>
                <w:sz w:val="20"/>
                <w:szCs w:val="20"/>
                <w:color w:val="auto"/>
              </w:rPr>
            </w:pPr>
            <w:r>
              <w:rPr>
                <w:rFonts w:ascii="Arial" w:cs="Arial" w:eastAsia="Arial" w:hAnsi="Arial"/>
                <w:sz w:val="16"/>
                <w:szCs w:val="16"/>
                <w:color w:val="auto"/>
              </w:rPr>
              <w:t>Gross fair value of derivative contracts</w:t>
            </w:r>
          </w:p>
        </w:tc>
        <w:tc>
          <w:tcPr>
            <w:tcW w:w="820" w:type="dxa"/>
            <w:vAlign w:val="bottom"/>
          </w:tcPr>
          <w:p>
            <w:pPr>
              <w:spacing w:after="0"/>
              <w:rPr>
                <w:sz w:val="18"/>
                <w:szCs w:val="18"/>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111</w:t>
            </w: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8740" w:type="dxa"/>
            <w:vAlign w:val="bottom"/>
            <w:gridSpan w:val="2"/>
          </w:tcPr>
          <w:p>
            <w:pPr>
              <w:ind w:left="200"/>
              <w:spacing w:after="0"/>
              <w:rPr>
                <w:sz w:val="20"/>
                <w:szCs w:val="20"/>
                <w:color w:val="auto"/>
              </w:rPr>
            </w:pPr>
            <w:r>
              <w:rPr>
                <w:rFonts w:ascii="Arial" w:cs="Arial" w:eastAsia="Arial" w:hAnsi="Arial"/>
                <w:sz w:val="16"/>
                <w:szCs w:val="16"/>
                <w:color w:val="auto"/>
              </w:rPr>
              <w:t>Gross amounts offset in the Consolidated Balance Sheet</w:t>
            </w:r>
          </w:p>
        </w:tc>
        <w:tc>
          <w:tcPr>
            <w:tcW w:w="820" w:type="dxa"/>
            <w:vAlign w:val="bottom"/>
          </w:tcPr>
          <w:p>
            <w:pPr>
              <w:spacing w:after="0"/>
              <w:rPr>
                <w:sz w:val="19"/>
                <w:szCs w:val="19"/>
                <w:color w:val="auto"/>
              </w:rPr>
            </w:pPr>
          </w:p>
        </w:tc>
        <w:tc>
          <w:tcPr>
            <w:tcW w:w="4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6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8740" w:type="dxa"/>
            <w:vAlign w:val="bottom"/>
            <w:gridSpan w:val="2"/>
          </w:tcPr>
          <w:p>
            <w:pPr>
              <w:ind w:left="340"/>
              <w:spacing w:after="0"/>
              <w:rPr>
                <w:sz w:val="20"/>
                <w:szCs w:val="20"/>
                <w:color w:val="auto"/>
              </w:rPr>
            </w:pPr>
            <w:r>
              <w:rPr>
                <w:rFonts w:ascii="Arial" w:cs="Arial" w:eastAsia="Arial" w:hAnsi="Arial"/>
                <w:sz w:val="16"/>
                <w:szCs w:val="16"/>
                <w:color w:val="auto"/>
              </w:rPr>
              <w:t>Net Amounts Presented in the Consolidated Balance Sheet</w:t>
            </w:r>
          </w:p>
        </w:tc>
        <w:tc>
          <w:tcPr>
            <w:tcW w:w="820" w:type="dxa"/>
            <w:vAlign w:val="bottom"/>
            <w:tcBorders>
              <w:top w:val="single" w:sz="8" w:color="auto"/>
              <w:bottom w:val="single" w:sz="8" w:color="auto"/>
            </w:tcBorders>
          </w:tcPr>
          <w:p>
            <w:pPr>
              <w:jc w:val="right"/>
              <w:ind w:right="641"/>
              <w:spacing w:after="0"/>
              <w:rPr>
                <w:sz w:val="20"/>
                <w:szCs w:val="20"/>
                <w:color w:val="auto"/>
              </w:rPr>
            </w:pPr>
            <w:r>
              <w:rPr>
                <w:rFonts w:ascii="Arial" w:cs="Arial" w:eastAsia="Arial" w:hAnsi="Arial"/>
                <w:sz w:val="16"/>
                <w:szCs w:val="16"/>
                <w:color w:val="auto"/>
                <w:w w:val="89"/>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111</w:t>
            </w:r>
          </w:p>
        </w:tc>
        <w:tc>
          <w:tcPr>
            <w:tcW w:w="120" w:type="dxa"/>
            <w:vAlign w:val="bottom"/>
          </w:tcPr>
          <w:p>
            <w:pPr>
              <w:spacing w:after="0"/>
              <w:rPr>
                <w:sz w:val="18"/>
                <w:szCs w:val="18"/>
                <w:color w:val="auto"/>
              </w:rPr>
            </w:pPr>
          </w:p>
        </w:tc>
        <w:tc>
          <w:tcPr>
            <w:tcW w:w="600" w:type="dxa"/>
            <w:vAlign w:val="bottom"/>
            <w:tcBorders>
              <w:top w:val="single" w:sz="8" w:color="auto"/>
              <w:bottom w:val="single" w:sz="8" w:color="auto"/>
            </w:tcBorders>
          </w:tcPr>
          <w:p>
            <w:pPr>
              <w:jc w:val="right"/>
              <w:ind w:right="421"/>
              <w:spacing w:after="0"/>
              <w:rPr>
                <w:sz w:val="20"/>
                <w:szCs w:val="20"/>
                <w:color w:val="auto"/>
              </w:rPr>
            </w:pPr>
            <w:r>
              <w:rPr>
                <w:rFonts w:ascii="Arial" w:cs="Arial" w:eastAsia="Arial" w:hAnsi="Arial"/>
                <w:sz w:val="16"/>
                <w:szCs w:val="16"/>
                <w:color w:val="auto"/>
                <w:w w:val="8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
        </w:trPr>
        <w:tc>
          <w:tcPr>
            <w:tcW w:w="1360" w:type="dxa"/>
            <w:vAlign w:val="bottom"/>
            <w:vMerge w:val="restart"/>
          </w:tcPr>
          <w:p>
            <w:pPr>
              <w:spacing w:after="0" w:line="183" w:lineRule="exact"/>
              <w:rPr>
                <w:sz w:val="20"/>
                <w:szCs w:val="20"/>
                <w:color w:val="auto"/>
              </w:rPr>
            </w:pPr>
            <w:r>
              <w:rPr>
                <w:rFonts w:ascii="Arial" w:cs="Arial" w:eastAsia="Arial" w:hAnsi="Arial"/>
                <w:sz w:val="16"/>
                <w:szCs w:val="16"/>
                <w:b w:val="1"/>
                <w:bCs w:val="1"/>
                <w:color w:val="auto"/>
                <w:w w:val="91"/>
              </w:rPr>
              <w:t>December 31, 2020</w:t>
            </w:r>
          </w:p>
        </w:tc>
        <w:tc>
          <w:tcPr>
            <w:tcW w:w="7380" w:type="dxa"/>
            <w:vAlign w:val="bottom"/>
            <w:vMerge w:val="restart"/>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7"/>
        </w:trPr>
        <w:tc>
          <w:tcPr>
            <w:tcW w:w="1360" w:type="dxa"/>
            <w:vAlign w:val="bottom"/>
            <w:tcBorders>
              <w:bottom w:val="single" w:sz="8" w:color="auto"/>
            </w:tcBorders>
            <w:vMerge w:val="continue"/>
          </w:tcPr>
          <w:p>
            <w:pPr>
              <w:spacing w:after="0"/>
              <w:rPr>
                <w:sz w:val="12"/>
                <w:szCs w:val="12"/>
                <w:color w:val="auto"/>
              </w:rPr>
            </w:pPr>
          </w:p>
        </w:tc>
        <w:tc>
          <w:tcPr>
            <w:tcW w:w="7380" w:type="dxa"/>
            <w:vAlign w:val="bottom"/>
            <w:vMerge w:val="continue"/>
          </w:tcPr>
          <w:p>
            <w:pPr>
              <w:spacing w:after="0"/>
              <w:rPr>
                <w:sz w:val="12"/>
                <w:szCs w:val="12"/>
                <w:color w:val="auto"/>
              </w:rPr>
            </w:pPr>
          </w:p>
        </w:tc>
        <w:tc>
          <w:tcPr>
            <w:tcW w:w="8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1"/>
        </w:trPr>
        <w:tc>
          <w:tcPr>
            <w:tcW w:w="8740" w:type="dxa"/>
            <w:vAlign w:val="bottom"/>
            <w:gridSpan w:val="2"/>
          </w:tcPr>
          <w:p>
            <w:pPr>
              <w:ind w:left="120"/>
              <w:spacing w:after="0"/>
              <w:rPr>
                <w:sz w:val="20"/>
                <w:szCs w:val="20"/>
                <w:color w:val="auto"/>
              </w:rPr>
            </w:pPr>
            <w:r>
              <w:rPr>
                <w:rFonts w:ascii="Arial" w:cs="Arial" w:eastAsia="Arial" w:hAnsi="Arial"/>
                <w:sz w:val="16"/>
                <w:szCs w:val="16"/>
                <w:color w:val="auto"/>
              </w:rPr>
              <w:t>Derivative Contracts Designated as Hedging Instruments:</w:t>
            </w:r>
          </w:p>
        </w:tc>
        <w:tc>
          <w:tcPr>
            <w:tcW w:w="8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740" w:type="dxa"/>
            <w:vAlign w:val="bottom"/>
            <w:gridSpan w:val="2"/>
          </w:tcPr>
          <w:p>
            <w:pPr>
              <w:ind w:left="200"/>
              <w:spacing w:after="0"/>
              <w:rPr>
                <w:sz w:val="20"/>
                <w:szCs w:val="20"/>
                <w:color w:val="auto"/>
              </w:rPr>
            </w:pPr>
            <w:r>
              <w:rPr>
                <w:rFonts w:ascii="Arial" w:cs="Arial" w:eastAsia="Arial" w:hAnsi="Arial"/>
                <w:sz w:val="16"/>
                <w:szCs w:val="16"/>
                <w:color w:val="auto"/>
              </w:rPr>
              <w:t>Crude oil put options</w:t>
            </w:r>
          </w:p>
        </w:tc>
        <w:tc>
          <w:tcPr>
            <w:tcW w:w="820" w:type="dxa"/>
            <w:vAlign w:val="bottom"/>
          </w:tcPr>
          <w:p>
            <w:pPr>
              <w:jc w:val="right"/>
              <w:ind w:right="641"/>
              <w:spacing w:after="0"/>
              <w:rPr>
                <w:sz w:val="20"/>
                <w:szCs w:val="20"/>
                <w:color w:val="auto"/>
              </w:rPr>
            </w:pPr>
            <w:r>
              <w:rPr>
                <w:rFonts w:ascii="Arial" w:cs="Arial" w:eastAsia="Arial" w:hAnsi="Arial"/>
                <w:sz w:val="16"/>
                <w:szCs w:val="16"/>
                <w:color w:val="auto"/>
                <w:w w:val="89"/>
              </w:rPr>
              <w:t>$</w:t>
            </w:r>
          </w:p>
        </w:tc>
        <w:tc>
          <w:tcPr>
            <w:tcW w:w="360" w:type="dxa"/>
            <w:vAlign w:val="bottom"/>
          </w:tcPr>
          <w:p>
            <w:pPr>
              <w:jc w:val="right"/>
              <w:spacing w:after="0"/>
              <w:rPr>
                <w:sz w:val="20"/>
                <w:szCs w:val="20"/>
                <w:color w:val="auto"/>
              </w:rPr>
            </w:pPr>
            <w:r>
              <w:rPr>
                <w:rFonts w:ascii="Arial" w:cs="Arial" w:eastAsia="Arial" w:hAnsi="Arial"/>
                <w:sz w:val="16"/>
                <w:szCs w:val="16"/>
                <w:color w:val="auto"/>
              </w:rPr>
              <w:t>64</w:t>
            </w:r>
          </w:p>
        </w:tc>
        <w:tc>
          <w:tcPr>
            <w:tcW w:w="120" w:type="dxa"/>
            <w:vAlign w:val="bottom"/>
          </w:tcPr>
          <w:p>
            <w:pPr>
              <w:spacing w:after="0"/>
              <w:rPr>
                <w:sz w:val="18"/>
                <w:szCs w:val="18"/>
                <w:color w:val="auto"/>
              </w:rPr>
            </w:pPr>
          </w:p>
        </w:tc>
        <w:tc>
          <w:tcPr>
            <w:tcW w:w="600" w:type="dxa"/>
            <w:vAlign w:val="bottom"/>
          </w:tcPr>
          <w:p>
            <w:pPr>
              <w:jc w:val="right"/>
              <w:ind w:right="421"/>
              <w:spacing w:after="0"/>
              <w:rPr>
                <w:sz w:val="20"/>
                <w:szCs w:val="20"/>
                <w:color w:val="auto"/>
              </w:rPr>
            </w:pPr>
            <w:r>
              <w:rPr>
                <w:rFonts w:ascii="Arial" w:cs="Arial" w:eastAsia="Arial" w:hAnsi="Arial"/>
                <w:sz w:val="16"/>
                <w:szCs w:val="16"/>
                <w:color w:val="auto"/>
                <w:w w:val="89"/>
              </w:rPr>
              <w:t>$</w:t>
            </w:r>
          </w:p>
        </w:tc>
        <w:tc>
          <w:tcPr>
            <w:tcW w:w="5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6"/>
        </w:trPr>
        <w:tc>
          <w:tcPr>
            <w:tcW w:w="8740" w:type="dxa"/>
            <w:vAlign w:val="bottom"/>
            <w:gridSpan w:val="2"/>
          </w:tcPr>
          <w:p>
            <w:pPr>
              <w:ind w:left="200"/>
              <w:spacing w:after="0"/>
              <w:rPr>
                <w:sz w:val="20"/>
                <w:szCs w:val="20"/>
                <w:color w:val="auto"/>
              </w:rPr>
            </w:pPr>
            <w:r>
              <w:rPr>
                <w:rFonts w:ascii="Arial" w:cs="Arial" w:eastAsia="Arial" w:hAnsi="Arial"/>
                <w:sz w:val="16"/>
                <w:szCs w:val="16"/>
                <w:color w:val="auto"/>
              </w:rPr>
              <w:t>Crude oil swaps</w:t>
            </w:r>
          </w:p>
        </w:tc>
        <w:tc>
          <w:tcPr>
            <w:tcW w:w="820" w:type="dxa"/>
            <w:vAlign w:val="bottom"/>
          </w:tcPr>
          <w:p>
            <w:pPr>
              <w:spacing w:after="0"/>
              <w:rPr>
                <w:sz w:val="18"/>
                <w:szCs w:val="18"/>
                <w:color w:val="auto"/>
              </w:rPr>
            </w:pPr>
          </w:p>
        </w:tc>
        <w:tc>
          <w:tcPr>
            <w:tcW w:w="4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6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(54)</w:t>
            </w:r>
          </w:p>
        </w:tc>
        <w:tc>
          <w:tcPr>
            <w:tcW w:w="0" w:type="dxa"/>
            <w:vAlign w:val="bottom"/>
          </w:tcPr>
          <w:p>
            <w:pPr>
              <w:spacing w:after="0"/>
              <w:rPr>
                <w:sz w:val="1"/>
                <w:szCs w:val="1"/>
                <w:color w:val="auto"/>
              </w:rPr>
            </w:pPr>
          </w:p>
        </w:tc>
      </w:tr>
      <w:tr>
        <w:trPr>
          <w:trHeight w:val="216"/>
        </w:trPr>
        <w:tc>
          <w:tcPr>
            <w:tcW w:w="8740" w:type="dxa"/>
            <w:vAlign w:val="bottom"/>
            <w:gridSpan w:val="2"/>
          </w:tcPr>
          <w:p>
            <w:pPr>
              <w:ind w:left="200"/>
              <w:spacing w:after="0"/>
              <w:rPr>
                <w:sz w:val="20"/>
                <w:szCs w:val="20"/>
                <w:color w:val="auto"/>
              </w:rPr>
            </w:pPr>
            <w:r>
              <w:rPr>
                <w:rFonts w:ascii="Arial" w:cs="Arial" w:eastAsia="Arial" w:hAnsi="Arial"/>
                <w:sz w:val="16"/>
                <w:szCs w:val="16"/>
                <w:color w:val="auto"/>
              </w:rPr>
              <w:t>Interest rate swaps</w:t>
            </w:r>
          </w:p>
        </w:tc>
        <w:tc>
          <w:tcPr>
            <w:tcW w:w="82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w:t>
            </w:r>
          </w:p>
        </w:tc>
        <w:tc>
          <w:tcPr>
            <w:tcW w:w="120" w:type="dxa"/>
            <w:vAlign w:val="bottom"/>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9"/>
        </w:trPr>
        <w:tc>
          <w:tcPr>
            <w:tcW w:w="8740" w:type="dxa"/>
            <w:vAlign w:val="bottom"/>
            <w:gridSpan w:val="2"/>
          </w:tcPr>
          <w:p>
            <w:pPr>
              <w:ind w:left="200"/>
              <w:spacing w:after="0"/>
              <w:rPr>
                <w:sz w:val="20"/>
                <w:szCs w:val="20"/>
                <w:color w:val="auto"/>
              </w:rPr>
            </w:pPr>
            <w:r>
              <w:rPr>
                <w:rFonts w:ascii="Arial" w:cs="Arial" w:eastAsia="Arial" w:hAnsi="Arial"/>
                <w:sz w:val="16"/>
                <w:szCs w:val="16"/>
                <w:color w:val="auto"/>
              </w:rPr>
              <w:t>Total derivative contracts designated as hedging instruments</w:t>
            </w:r>
          </w:p>
        </w:tc>
        <w:tc>
          <w:tcPr>
            <w:tcW w:w="82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69</w:t>
            </w:r>
          </w:p>
        </w:tc>
        <w:tc>
          <w:tcPr>
            <w:tcW w:w="120" w:type="dxa"/>
            <w:vAlign w:val="bottom"/>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(54)</w:t>
            </w:r>
          </w:p>
        </w:tc>
        <w:tc>
          <w:tcPr>
            <w:tcW w:w="0" w:type="dxa"/>
            <w:vAlign w:val="bottom"/>
          </w:tcPr>
          <w:p>
            <w:pPr>
              <w:spacing w:after="0"/>
              <w:rPr>
                <w:sz w:val="1"/>
                <w:szCs w:val="1"/>
                <w:color w:val="auto"/>
              </w:rPr>
            </w:pPr>
          </w:p>
        </w:tc>
      </w:tr>
      <w:tr>
        <w:trPr>
          <w:trHeight w:val="196"/>
        </w:trPr>
        <w:tc>
          <w:tcPr>
            <w:tcW w:w="8740" w:type="dxa"/>
            <w:vAlign w:val="bottom"/>
            <w:gridSpan w:val="2"/>
          </w:tcPr>
          <w:p>
            <w:pPr>
              <w:ind w:left="120"/>
              <w:spacing w:after="0"/>
              <w:rPr>
                <w:sz w:val="20"/>
                <w:szCs w:val="20"/>
                <w:color w:val="auto"/>
              </w:rPr>
            </w:pPr>
            <w:r>
              <w:rPr>
                <w:rFonts w:ascii="Arial" w:cs="Arial" w:eastAsia="Arial" w:hAnsi="Arial"/>
                <w:sz w:val="16"/>
                <w:szCs w:val="16"/>
                <w:color w:val="auto"/>
              </w:rPr>
              <w:t>Derivative Contracts Not Designated as Hedging Instruments:</w:t>
            </w:r>
          </w:p>
        </w:tc>
        <w:tc>
          <w:tcPr>
            <w:tcW w:w="8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8740" w:type="dxa"/>
            <w:vAlign w:val="bottom"/>
            <w:gridSpan w:val="2"/>
          </w:tcPr>
          <w:p>
            <w:pPr>
              <w:ind w:left="200"/>
              <w:spacing w:after="0"/>
              <w:rPr>
                <w:sz w:val="20"/>
                <w:szCs w:val="20"/>
                <w:color w:val="auto"/>
              </w:rPr>
            </w:pPr>
            <w:r>
              <w:rPr>
                <w:rFonts w:ascii="Arial" w:cs="Arial" w:eastAsia="Arial" w:hAnsi="Arial"/>
                <w:sz w:val="16"/>
                <w:szCs w:val="16"/>
                <w:color w:val="auto"/>
              </w:rPr>
              <w:t>Foreign exchange forwards / swaps</w:t>
            </w:r>
          </w:p>
        </w:tc>
        <w:tc>
          <w:tcPr>
            <w:tcW w:w="82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10"/>
        </w:trPr>
        <w:tc>
          <w:tcPr>
            <w:tcW w:w="8740" w:type="dxa"/>
            <w:vAlign w:val="bottom"/>
            <w:gridSpan w:val="2"/>
          </w:tcPr>
          <w:p>
            <w:pPr>
              <w:ind w:left="200"/>
              <w:spacing w:after="0"/>
              <w:rPr>
                <w:sz w:val="20"/>
                <w:szCs w:val="20"/>
                <w:color w:val="auto"/>
              </w:rPr>
            </w:pPr>
            <w:r>
              <w:rPr>
                <w:rFonts w:ascii="Arial" w:cs="Arial" w:eastAsia="Arial" w:hAnsi="Arial"/>
                <w:sz w:val="16"/>
                <w:szCs w:val="16"/>
                <w:color w:val="auto"/>
              </w:rPr>
              <w:t>Total derivative contracts not designated as hedging instruments</w:t>
            </w:r>
          </w:p>
        </w:tc>
        <w:tc>
          <w:tcPr>
            <w:tcW w:w="820" w:type="dxa"/>
            <w:vAlign w:val="bottom"/>
          </w:tcPr>
          <w:p>
            <w:pPr>
              <w:spacing w:after="0"/>
              <w:rPr>
                <w:sz w:val="18"/>
                <w:szCs w:val="18"/>
                <w:color w:val="auto"/>
              </w:rPr>
            </w:pPr>
          </w:p>
        </w:tc>
        <w:tc>
          <w:tcPr>
            <w:tcW w:w="4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6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10"/>
        </w:trPr>
        <w:tc>
          <w:tcPr>
            <w:tcW w:w="8740" w:type="dxa"/>
            <w:vAlign w:val="bottom"/>
            <w:gridSpan w:val="2"/>
          </w:tcPr>
          <w:p>
            <w:pPr>
              <w:ind w:left="340"/>
              <w:spacing w:after="0"/>
              <w:rPr>
                <w:sz w:val="20"/>
                <w:szCs w:val="20"/>
                <w:color w:val="auto"/>
              </w:rPr>
            </w:pPr>
            <w:r>
              <w:rPr>
                <w:rFonts w:ascii="Arial" w:cs="Arial" w:eastAsia="Arial" w:hAnsi="Arial"/>
                <w:sz w:val="16"/>
                <w:szCs w:val="16"/>
                <w:color w:val="auto"/>
              </w:rPr>
              <w:t>Gross fair value of derivative contracts</w:t>
            </w:r>
          </w:p>
        </w:tc>
        <w:tc>
          <w:tcPr>
            <w:tcW w:w="820" w:type="dxa"/>
            <w:vAlign w:val="bottom"/>
            <w:tcBorders>
              <w:top w:val="single" w:sz="8" w:color="auto"/>
            </w:tcBorders>
          </w:tcPr>
          <w:p>
            <w:pPr>
              <w:spacing w:after="0"/>
              <w:rPr>
                <w:sz w:val="18"/>
                <w:szCs w:val="18"/>
                <w:color w:val="auto"/>
              </w:rPr>
            </w:pP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69</w:t>
            </w:r>
          </w:p>
        </w:tc>
        <w:tc>
          <w:tcPr>
            <w:tcW w:w="120" w:type="dxa"/>
            <w:vAlign w:val="bottom"/>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(55)</w:t>
            </w:r>
          </w:p>
        </w:tc>
        <w:tc>
          <w:tcPr>
            <w:tcW w:w="0" w:type="dxa"/>
            <w:vAlign w:val="bottom"/>
          </w:tcPr>
          <w:p>
            <w:pPr>
              <w:spacing w:after="0"/>
              <w:rPr>
                <w:sz w:val="1"/>
                <w:szCs w:val="1"/>
                <w:color w:val="auto"/>
              </w:rPr>
            </w:pPr>
          </w:p>
        </w:tc>
      </w:tr>
      <w:tr>
        <w:trPr>
          <w:trHeight w:val="219"/>
        </w:trPr>
        <w:tc>
          <w:tcPr>
            <w:tcW w:w="8740" w:type="dxa"/>
            <w:vAlign w:val="bottom"/>
            <w:gridSpan w:val="2"/>
          </w:tcPr>
          <w:p>
            <w:pPr>
              <w:ind w:left="200"/>
              <w:spacing w:after="0"/>
              <w:rPr>
                <w:sz w:val="20"/>
                <w:szCs w:val="20"/>
                <w:color w:val="auto"/>
              </w:rPr>
            </w:pPr>
            <w:r>
              <w:rPr>
                <w:rFonts w:ascii="Arial" w:cs="Arial" w:eastAsia="Arial" w:hAnsi="Arial"/>
                <w:sz w:val="16"/>
                <w:szCs w:val="16"/>
                <w:color w:val="auto"/>
              </w:rPr>
              <w:t>Gross amounts offset in the Consolidated Balance Sheet</w:t>
            </w:r>
          </w:p>
        </w:tc>
        <w:tc>
          <w:tcPr>
            <w:tcW w:w="82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w:t>
            </w:r>
          </w:p>
        </w:tc>
        <w:tc>
          <w:tcPr>
            <w:tcW w:w="120" w:type="dxa"/>
            <w:vAlign w:val="bottom"/>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w:t>
            </w:r>
          </w:p>
        </w:tc>
        <w:tc>
          <w:tcPr>
            <w:tcW w:w="0" w:type="dxa"/>
            <w:vAlign w:val="bottom"/>
          </w:tcPr>
          <w:p>
            <w:pPr>
              <w:spacing w:after="0"/>
              <w:rPr>
                <w:sz w:val="1"/>
                <w:szCs w:val="1"/>
                <w:color w:val="auto"/>
              </w:rPr>
            </w:pPr>
          </w:p>
        </w:tc>
      </w:tr>
      <w:tr>
        <w:trPr>
          <w:trHeight w:val="213"/>
        </w:trPr>
        <w:tc>
          <w:tcPr>
            <w:tcW w:w="8740" w:type="dxa"/>
            <w:vAlign w:val="bottom"/>
            <w:gridSpan w:val="2"/>
          </w:tcPr>
          <w:p>
            <w:pPr>
              <w:ind w:left="340"/>
              <w:spacing w:after="0"/>
              <w:rPr>
                <w:sz w:val="20"/>
                <w:szCs w:val="20"/>
                <w:color w:val="auto"/>
              </w:rPr>
            </w:pPr>
            <w:r>
              <w:rPr>
                <w:rFonts w:ascii="Arial" w:cs="Arial" w:eastAsia="Arial" w:hAnsi="Arial"/>
                <w:sz w:val="16"/>
                <w:szCs w:val="16"/>
                <w:color w:val="auto"/>
              </w:rPr>
              <w:t>Net Amounts Presented in the Consolidated Balance Sheet</w:t>
            </w:r>
          </w:p>
        </w:tc>
        <w:tc>
          <w:tcPr>
            <w:tcW w:w="820" w:type="dxa"/>
            <w:vAlign w:val="bottom"/>
            <w:tcBorders>
              <w:bottom w:val="single" w:sz="8" w:color="auto"/>
            </w:tcBorders>
          </w:tcPr>
          <w:p>
            <w:pPr>
              <w:jc w:val="right"/>
              <w:ind w:right="641"/>
              <w:spacing w:after="0"/>
              <w:rPr>
                <w:sz w:val="20"/>
                <w:szCs w:val="20"/>
                <w:color w:val="auto"/>
              </w:rPr>
            </w:pPr>
            <w:r>
              <w:rPr>
                <w:rFonts w:ascii="Arial" w:cs="Arial" w:eastAsia="Arial" w:hAnsi="Arial"/>
                <w:sz w:val="16"/>
                <w:szCs w:val="16"/>
                <w:color w:val="auto"/>
                <w:w w:val="89"/>
              </w:rPr>
              <w:t>$</w:t>
            </w: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56</w:t>
            </w:r>
          </w:p>
        </w:tc>
        <w:tc>
          <w:tcPr>
            <w:tcW w:w="120" w:type="dxa"/>
            <w:vAlign w:val="bottom"/>
          </w:tcPr>
          <w:p>
            <w:pPr>
              <w:spacing w:after="0"/>
              <w:rPr>
                <w:sz w:val="18"/>
                <w:szCs w:val="18"/>
                <w:color w:val="auto"/>
              </w:rPr>
            </w:pPr>
          </w:p>
        </w:tc>
        <w:tc>
          <w:tcPr>
            <w:tcW w:w="600" w:type="dxa"/>
            <w:vAlign w:val="bottom"/>
            <w:tcBorders>
              <w:bottom w:val="single" w:sz="8" w:color="auto"/>
            </w:tcBorders>
          </w:tcPr>
          <w:p>
            <w:pPr>
              <w:jc w:val="right"/>
              <w:ind w:right="421"/>
              <w:spacing w:after="0"/>
              <w:rPr>
                <w:sz w:val="20"/>
                <w:szCs w:val="20"/>
                <w:color w:val="auto"/>
              </w:rPr>
            </w:pPr>
            <w:r>
              <w:rPr>
                <w:rFonts w:ascii="Arial" w:cs="Arial" w:eastAsia="Arial" w:hAnsi="Arial"/>
                <w:sz w:val="16"/>
                <w:szCs w:val="16"/>
                <w:color w:val="auto"/>
                <w:w w:val="89"/>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w:t>
            </w:r>
          </w:p>
        </w:tc>
        <w:tc>
          <w:tcPr>
            <w:tcW w:w="0" w:type="dxa"/>
            <w:vAlign w:val="bottom"/>
          </w:tcPr>
          <w:p>
            <w:pPr>
              <w:spacing w:after="0"/>
              <w:rPr>
                <w:sz w:val="1"/>
                <w:szCs w:val="1"/>
                <w:color w:val="auto"/>
              </w:rPr>
            </w:pPr>
          </w:p>
        </w:tc>
      </w:tr>
      <w:tr>
        <w:trPr>
          <w:trHeight w:val="20"/>
        </w:trPr>
        <w:tc>
          <w:tcPr>
            <w:tcW w:w="1360" w:type="dxa"/>
            <w:vAlign w:val="bottom"/>
          </w:tcPr>
          <w:p>
            <w:pPr>
              <w:spacing w:after="0" w:line="20" w:lineRule="exact"/>
              <w:rPr>
                <w:sz w:val="1"/>
                <w:szCs w:val="1"/>
                <w:color w:val="auto"/>
              </w:rPr>
            </w:pPr>
          </w:p>
        </w:tc>
        <w:tc>
          <w:tcPr>
            <w:tcW w:w="738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88"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 xml:space="preserve">Of the total fair value of our crude oil hedging contracts at September 30, 2021, $65 million is presented within </w:t>
      </w:r>
      <w:r>
        <w:rPr>
          <w:rFonts w:ascii="Arial" w:cs="Arial" w:eastAsia="Arial" w:hAnsi="Arial"/>
          <w:sz w:val="16"/>
          <w:szCs w:val="16"/>
          <w:i w:val="1"/>
          <w:iCs w:val="1"/>
          <w:color w:val="auto"/>
        </w:rPr>
        <w:t>Other current assets</w:t>
      </w:r>
      <w:r>
        <w:rPr>
          <w:rFonts w:ascii="Arial" w:cs="Arial" w:eastAsia="Arial" w:hAnsi="Arial"/>
          <w:sz w:val="16"/>
          <w:szCs w:val="16"/>
          <w:color w:val="auto"/>
        </w:rPr>
        <w:t xml:space="preserve"> and $41 million is presented within </w:t>
      </w:r>
      <w:r>
        <w:rPr>
          <w:rFonts w:ascii="Arial" w:cs="Arial" w:eastAsia="Arial" w:hAnsi="Arial"/>
          <w:sz w:val="16"/>
          <w:szCs w:val="16"/>
          <w:i w:val="1"/>
          <w:iCs w:val="1"/>
          <w:color w:val="auto"/>
        </w:rPr>
        <w:t>Other assets</w:t>
      </w:r>
      <w:r>
        <w:rPr>
          <w:rFonts w:ascii="Arial" w:cs="Arial" w:eastAsia="Arial" w:hAnsi="Arial"/>
          <w:sz w:val="16"/>
          <w:szCs w:val="16"/>
          <w:color w:val="auto"/>
        </w:rPr>
        <w:t xml:space="preserve"> in our </w:t>
      </w:r>
      <w:r>
        <w:rPr>
          <w:rFonts w:ascii="Arial" w:cs="Arial" w:eastAsia="Arial" w:hAnsi="Arial"/>
          <w:sz w:val="16"/>
          <w:szCs w:val="16"/>
          <w:i w:val="1"/>
          <w:iCs w:val="1"/>
          <w:color w:val="auto"/>
        </w:rPr>
        <w:t>Consolidated Balance Sheet</w:t>
      </w:r>
      <w:r>
        <w:rPr>
          <w:rFonts w:ascii="Arial" w:cs="Arial" w:eastAsia="Arial" w:hAnsi="Arial"/>
          <w:sz w:val="16"/>
          <w:szCs w:val="16"/>
          <w:color w:val="auto"/>
        </w:rPr>
        <w:t xml:space="preserve">. The fair value of our crude oil put options at December 31, 2020 is presented in </w:t>
      </w:r>
      <w:r>
        <w:rPr>
          <w:rFonts w:ascii="Arial" w:cs="Arial" w:eastAsia="Arial" w:hAnsi="Arial"/>
          <w:sz w:val="16"/>
          <w:szCs w:val="16"/>
          <w:i w:val="1"/>
          <w:iCs w:val="1"/>
          <w:color w:val="auto"/>
        </w:rPr>
        <w:t>Other</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current assets </w:t>
      </w:r>
      <w:r>
        <w:rPr>
          <w:rFonts w:ascii="Arial" w:cs="Arial" w:eastAsia="Arial" w:hAnsi="Arial"/>
          <w:sz w:val="16"/>
          <w:szCs w:val="16"/>
          <w:color w:val="auto"/>
        </w:rPr>
        <w:t>in our</w:t>
      </w:r>
      <w:r>
        <w:rPr>
          <w:rFonts w:ascii="Arial" w:cs="Arial" w:eastAsia="Arial" w:hAnsi="Arial"/>
          <w:sz w:val="16"/>
          <w:szCs w:val="16"/>
          <w:i w:val="1"/>
          <w:iCs w:val="1"/>
          <w:color w:val="auto"/>
        </w:rPr>
        <w:t xml:space="preserve"> Consolidated Balance Sheet. </w:t>
      </w:r>
      <w:r>
        <w:rPr>
          <w:rFonts w:ascii="Arial" w:cs="Arial" w:eastAsia="Arial" w:hAnsi="Arial"/>
          <w:sz w:val="16"/>
          <w:szCs w:val="16"/>
          <w:color w:val="auto"/>
        </w:rPr>
        <w:t>The fair value of our interest rate swaps is presented within</w:t>
      </w:r>
      <w:r>
        <w:rPr>
          <w:rFonts w:ascii="Arial" w:cs="Arial" w:eastAsia="Arial" w:hAnsi="Arial"/>
          <w:sz w:val="16"/>
          <w:szCs w:val="16"/>
          <w:i w:val="1"/>
          <w:iCs w:val="1"/>
          <w:color w:val="auto"/>
        </w:rPr>
        <w:t xml:space="preserve"> Other assets </w:t>
      </w:r>
      <w:r>
        <w:rPr>
          <w:rFonts w:ascii="Arial" w:cs="Arial" w:eastAsia="Arial" w:hAnsi="Arial"/>
          <w:sz w:val="16"/>
          <w:szCs w:val="16"/>
          <w:color w:val="auto"/>
        </w:rPr>
        <w:t>in our</w:t>
      </w:r>
      <w:r>
        <w:rPr>
          <w:rFonts w:ascii="Arial" w:cs="Arial" w:eastAsia="Arial" w:hAnsi="Arial"/>
          <w:sz w:val="16"/>
          <w:szCs w:val="16"/>
          <w:i w:val="1"/>
          <w:iCs w:val="1"/>
          <w:color w:val="auto"/>
        </w:rPr>
        <w:t xml:space="preserve"> Consolidated Balance</w:t>
      </w:r>
    </w:p>
    <w:p>
      <w:pPr>
        <w:spacing w:after="0" w:line="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i w:val="1"/>
          <w:iCs w:val="1"/>
          <w:color w:val="auto"/>
        </w:rPr>
        <w:t>Sheet</w:t>
      </w:r>
      <w:r>
        <w:rPr>
          <w:rFonts w:ascii="Arial" w:cs="Arial" w:eastAsia="Arial" w:hAnsi="Arial"/>
          <w:sz w:val="18"/>
          <w:szCs w:val="18"/>
          <w:color w:val="auto"/>
        </w:rPr>
        <w:t>. The fair value of our foreign exchange forwards and swaps is presented within</w:t>
      </w:r>
      <w:r>
        <w:rPr>
          <w:rFonts w:ascii="Arial" w:cs="Arial" w:eastAsia="Arial" w:hAnsi="Arial"/>
          <w:sz w:val="18"/>
          <w:szCs w:val="18"/>
          <w:i w:val="1"/>
          <w:iCs w:val="1"/>
          <w:color w:val="auto"/>
        </w:rPr>
        <w:t xml:space="preserve"> Accounts receivable - Joint venture and other </w:t>
      </w:r>
      <w:r>
        <w:rPr>
          <w:rFonts w:ascii="Arial" w:cs="Arial" w:eastAsia="Arial" w:hAnsi="Arial"/>
          <w:sz w:val="18"/>
          <w:szCs w:val="18"/>
          <w:color w:val="auto"/>
        </w:rPr>
        <w:t>and</w:t>
      </w:r>
      <w:r>
        <w:rPr>
          <w:rFonts w:ascii="Arial" w:cs="Arial" w:eastAsia="Arial" w:hAnsi="Arial"/>
          <w:sz w:val="18"/>
          <w:szCs w:val="18"/>
          <w:i w:val="1"/>
          <w:iCs w:val="1"/>
          <w:color w:val="auto"/>
        </w:rPr>
        <w:t xml:space="preserve"> Accrued liabilities </w:t>
      </w:r>
      <w:r>
        <w:rPr>
          <w:rFonts w:ascii="Arial" w:cs="Arial" w:eastAsia="Arial" w:hAnsi="Arial"/>
          <w:sz w:val="18"/>
          <w:szCs w:val="18"/>
          <w:color w:val="auto"/>
        </w:rPr>
        <w:t xml:space="preserve">in our </w:t>
      </w:r>
      <w:r>
        <w:rPr>
          <w:rFonts w:ascii="Arial" w:cs="Arial" w:eastAsia="Arial" w:hAnsi="Arial"/>
          <w:sz w:val="18"/>
          <w:szCs w:val="18"/>
          <w:i w:val="1"/>
          <w:iCs w:val="1"/>
          <w:color w:val="auto"/>
        </w:rPr>
        <w:t>Consolidated Balance Sheet</w:t>
      </w:r>
      <w:r>
        <w:rPr>
          <w:rFonts w:ascii="Arial" w:cs="Arial" w:eastAsia="Arial" w:hAnsi="Arial"/>
          <w:sz w:val="18"/>
          <w:szCs w:val="18"/>
          <w:color w:val="auto"/>
        </w:rPr>
        <w:t xml:space="preserve"> at September 30, 2021 and December 31, 2020, respectively. All fair values in the table above are based on Level 2 inputs.</w:t>
      </w:r>
    </w:p>
    <w:p>
      <w:pPr>
        <w:spacing w:after="0" w:line="8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Derivative contracts designated as hedging instruments:</w:t>
      </w:r>
    </w:p>
    <w:p>
      <w:pPr>
        <w:spacing w:after="0" w:line="104" w:lineRule="exact"/>
        <w:rPr>
          <w:sz w:val="20"/>
          <w:szCs w:val="20"/>
          <w:color w:val="auto"/>
        </w:rPr>
      </w:pPr>
    </w:p>
    <w:p>
      <w:pPr>
        <w:jc w:val="both"/>
        <w:spacing w:after="0" w:line="242" w:lineRule="auto"/>
        <w:rPr>
          <w:sz w:val="20"/>
          <w:szCs w:val="20"/>
          <w:color w:val="auto"/>
        </w:rPr>
      </w:pPr>
      <w:r>
        <w:rPr>
          <w:rFonts w:ascii="Arial" w:cs="Arial" w:eastAsia="Arial" w:hAnsi="Arial"/>
          <w:sz w:val="17"/>
          <w:szCs w:val="17"/>
          <w:i w:val="1"/>
          <w:iCs w:val="1"/>
          <w:color w:val="auto"/>
        </w:rPr>
        <w:t xml:space="preserve">Crude oil derivatives designated as cash flow hedges: </w:t>
      </w:r>
      <w:r>
        <w:rPr>
          <w:rFonts w:ascii="Arial" w:cs="Arial" w:eastAsia="Arial" w:hAnsi="Arial"/>
          <w:sz w:val="17"/>
          <w:szCs w:val="17"/>
          <w:color w:val="auto"/>
        </w:rPr>
        <w:t>Crude oil hedging contracts decreased</w:t>
      </w:r>
      <w:r>
        <w:rPr>
          <w:rFonts w:ascii="Arial" w:cs="Arial" w:eastAsia="Arial" w:hAnsi="Arial"/>
          <w:sz w:val="17"/>
          <w:szCs w:val="17"/>
          <w:i w:val="1"/>
          <w:iCs w:val="1"/>
          <w:color w:val="auto"/>
        </w:rPr>
        <w:t xml:space="preserve"> Sales and other operating revenues </w:t>
      </w:r>
      <w:r>
        <w:rPr>
          <w:rFonts w:ascii="Arial" w:cs="Arial" w:eastAsia="Arial" w:hAnsi="Arial"/>
          <w:sz w:val="17"/>
          <w:szCs w:val="17"/>
          <w:color w:val="auto"/>
        </w:rPr>
        <w:t>by $64 million and $179</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million in the three and nine months ended September 30, 2021, respectively, and increased </w:t>
      </w:r>
      <w:r>
        <w:rPr>
          <w:rFonts w:ascii="Arial" w:cs="Arial" w:eastAsia="Arial" w:hAnsi="Arial"/>
          <w:sz w:val="17"/>
          <w:szCs w:val="17"/>
          <w:i w:val="1"/>
          <w:iCs w:val="1"/>
          <w:color w:val="auto"/>
        </w:rPr>
        <w:t>Sales and other operating revenues</w:t>
      </w:r>
      <w:r>
        <w:rPr>
          <w:rFonts w:ascii="Arial" w:cs="Arial" w:eastAsia="Arial" w:hAnsi="Arial"/>
          <w:sz w:val="17"/>
          <w:szCs w:val="17"/>
          <w:color w:val="auto"/>
        </w:rPr>
        <w:t xml:space="preserve"> by $143 million and $435 million, respectively, in the three and nine months ended September 30, 2020. The pre-tax deferred losses in </w:t>
      </w:r>
      <w:r>
        <w:rPr>
          <w:rFonts w:ascii="Arial" w:cs="Arial" w:eastAsia="Arial" w:hAnsi="Arial"/>
          <w:sz w:val="17"/>
          <w:szCs w:val="17"/>
          <w:i w:val="1"/>
          <w:iCs w:val="1"/>
          <w:color w:val="auto"/>
        </w:rPr>
        <w:t>Accumulated other comprehensive income</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(loss) </w:t>
      </w:r>
      <w:r>
        <w:rPr>
          <w:rFonts w:ascii="Arial" w:cs="Arial" w:eastAsia="Arial" w:hAnsi="Arial"/>
          <w:sz w:val="17"/>
          <w:szCs w:val="17"/>
          <w:color w:val="auto"/>
        </w:rPr>
        <w:t>related to outstanding crude oil hedging contracts were $88 million at September 30, 2021, $82 million of which will be reclassified into earnings</w:t>
      </w:r>
      <w:r>
        <w:rPr>
          <w:rFonts w:ascii="Arial" w:cs="Arial" w:eastAsia="Arial" w:hAnsi="Arial"/>
          <w:sz w:val="17"/>
          <w:szCs w:val="17"/>
          <w:i w:val="1"/>
          <w:iCs w:val="1"/>
          <w:color w:val="auto"/>
        </w:rPr>
        <w:t xml:space="preserve"> </w:t>
      </w:r>
      <w:r>
        <w:rPr>
          <w:rFonts w:ascii="Arial" w:cs="Arial" w:eastAsia="Arial" w:hAnsi="Arial"/>
          <w:sz w:val="17"/>
          <w:szCs w:val="17"/>
          <w:color w:val="auto"/>
        </w:rPr>
        <w:t>during the next twelve months as the hedged crude oil sales are recognized in earnings.</w:t>
      </w:r>
    </w:p>
    <w:p>
      <w:pPr>
        <w:spacing w:after="0" w:line="67"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During the first quarter of 2021, we completed the sale of 4.2 million barrels of Bakken crude oil transported and stored on two VLCCs during 2020 for sale in Asian markets. We recognized net losses of $4 million from crude oil hedging contracts associated with the VLCC volumes in the first quarter of 2021.</w:t>
      </w:r>
    </w:p>
    <w:p>
      <w:pPr>
        <w:spacing w:after="0" w:line="80" w:lineRule="exact"/>
        <w:rPr>
          <w:sz w:val="20"/>
          <w:szCs w:val="20"/>
          <w:color w:val="auto"/>
        </w:rPr>
      </w:pPr>
    </w:p>
    <w:p>
      <w:pPr>
        <w:jc w:val="both"/>
        <w:spacing w:after="0" w:line="296" w:lineRule="auto"/>
        <w:rPr>
          <w:sz w:val="20"/>
          <w:szCs w:val="20"/>
          <w:color w:val="auto"/>
        </w:rPr>
      </w:pPr>
      <w:r>
        <w:rPr>
          <w:rFonts w:ascii="Arial" w:cs="Arial" w:eastAsia="Arial" w:hAnsi="Arial"/>
          <w:sz w:val="16"/>
          <w:szCs w:val="16"/>
          <w:i w:val="1"/>
          <w:iCs w:val="1"/>
          <w:color w:val="auto"/>
        </w:rPr>
        <w:t xml:space="preserve">Interest rate swaps designated as fair value hedges: </w:t>
      </w:r>
      <w:r>
        <w:rPr>
          <w:rFonts w:ascii="Arial" w:cs="Arial" w:eastAsia="Arial" w:hAnsi="Arial"/>
          <w:sz w:val="16"/>
          <w:szCs w:val="16"/>
          <w:color w:val="auto"/>
        </w:rPr>
        <w:t>We had interest rate swaps with gross notional amounts totaling $100 million at September 30, 2021</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and December 31, 2020, that convert interest payments from fixed to floating rates. Changes in the fair value of interest rate swaps and the hedged fixed-rate debt are recorded in </w:t>
      </w:r>
      <w:r>
        <w:rPr>
          <w:rFonts w:ascii="Arial" w:cs="Arial" w:eastAsia="Arial" w:hAnsi="Arial"/>
          <w:sz w:val="16"/>
          <w:szCs w:val="16"/>
          <w:i w:val="1"/>
          <w:iCs w:val="1"/>
          <w:color w:val="auto"/>
        </w:rPr>
        <w:t>Interest expense</w:t>
      </w:r>
      <w:r>
        <w:rPr>
          <w:rFonts w:ascii="Arial" w:cs="Arial" w:eastAsia="Arial" w:hAnsi="Arial"/>
          <w:sz w:val="16"/>
          <w:szCs w:val="16"/>
          <w:color w:val="auto"/>
        </w:rPr>
        <w:t xml:space="preserve"> in the </w:t>
      </w:r>
      <w:r>
        <w:rPr>
          <w:rFonts w:ascii="Arial" w:cs="Arial" w:eastAsia="Arial" w:hAnsi="Arial"/>
          <w:sz w:val="16"/>
          <w:szCs w:val="16"/>
          <w:i w:val="1"/>
          <w:iCs w:val="1"/>
          <w:color w:val="auto"/>
        </w:rPr>
        <w:t>Statement of Consolidated Income</w:t>
      </w:r>
      <w:r>
        <w:rPr>
          <w:rFonts w:ascii="Arial" w:cs="Arial" w:eastAsia="Arial" w:hAnsi="Arial"/>
          <w:sz w:val="16"/>
          <w:szCs w:val="16"/>
          <w:color w:val="auto"/>
        </w:rPr>
        <w:t>. The change in fair value of interest rate swaps was nil and a decrease of $1 million in the three and nine months ended September 30, 2021, respectively, compared with a change in fair value of nil and an increase of $6 million in the three and nine months ended September 30, 2020, respectively, with a corresponding adjustment in the carrying value of the hedged fixed-rate debt.</w:t>
      </w:r>
    </w:p>
    <w:p>
      <w:pPr>
        <w:spacing w:after="0" w:line="5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Derivative contracts not designated as hedging instruments:</w:t>
      </w:r>
    </w:p>
    <w:p>
      <w:pPr>
        <w:spacing w:after="0" w:line="11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i w:val="1"/>
          <w:iCs w:val="1"/>
          <w:color w:val="auto"/>
        </w:rPr>
        <w:t xml:space="preserve">Foreign exchange: </w:t>
      </w:r>
      <w:r>
        <w:rPr>
          <w:rFonts w:ascii="Arial" w:cs="Arial" w:eastAsia="Arial" w:hAnsi="Arial"/>
          <w:sz w:val="18"/>
          <w:szCs w:val="18"/>
          <w:color w:val="auto"/>
        </w:rPr>
        <w:t>Foreign exchange gains and losses, which are reported in</w:t>
      </w:r>
      <w:r>
        <w:rPr>
          <w:rFonts w:ascii="Arial" w:cs="Arial" w:eastAsia="Arial" w:hAnsi="Arial"/>
          <w:sz w:val="18"/>
          <w:szCs w:val="18"/>
          <w:i w:val="1"/>
          <w:iCs w:val="1"/>
          <w:color w:val="auto"/>
        </w:rPr>
        <w:t xml:space="preserve"> Other, net </w:t>
      </w:r>
      <w:r>
        <w:rPr>
          <w:rFonts w:ascii="Arial" w:cs="Arial" w:eastAsia="Arial" w:hAnsi="Arial"/>
          <w:sz w:val="18"/>
          <w:szCs w:val="18"/>
          <w:color w:val="auto"/>
        </w:rPr>
        <w:t>in Revenues and non-operating income in the</w:t>
      </w:r>
      <w:r>
        <w:rPr>
          <w:rFonts w:ascii="Arial" w:cs="Arial" w:eastAsia="Arial" w:hAnsi="Arial"/>
          <w:sz w:val="18"/>
          <w:szCs w:val="18"/>
          <w:i w:val="1"/>
          <w:iCs w:val="1"/>
          <w:color w:val="auto"/>
        </w:rPr>
        <w:t xml:space="preserve"> Statement of Consolidated Income, </w:t>
      </w:r>
      <w:r>
        <w:rPr>
          <w:rFonts w:ascii="Arial" w:cs="Arial" w:eastAsia="Arial" w:hAnsi="Arial"/>
          <w:sz w:val="18"/>
          <w:szCs w:val="18"/>
          <w:color w:val="auto"/>
        </w:rPr>
        <w:t>were nil and losses of $2 million in the three and nine months ended September 30, 2021, respectively, compared with losses of $1</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and $4 million in the three and nine months ended September 30, 2020,</w:t>
      </w:r>
    </w:p>
    <w:p>
      <w:pPr>
        <w:sectPr>
          <w:pgSz w:w="11900" w:h="16838" w:orient="portrait"/>
          <w:cols w:equalWidth="0" w:num="1">
            <w:col w:w="11240"/>
          </w:cols>
          <w:pgMar w:left="320" w:top="229" w:right="339" w:bottom="1440" w:gutter="0" w:footer="0" w:header="0"/>
        </w:sectPr>
      </w:pPr>
    </w:p>
    <w:p>
      <w:pPr>
        <w:spacing w:after="0" w:line="200" w:lineRule="exact"/>
        <w:rPr>
          <w:sz w:val="20"/>
          <w:szCs w:val="20"/>
          <w:color w:val="auto"/>
        </w:rPr>
      </w:pPr>
    </w:p>
    <w:p>
      <w:pPr>
        <w:spacing w:after="0" w:line="32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type w:val="continuous"/>
        </w:sectPr>
      </w:pPr>
    </w:p>
    <w:bookmarkStart w:id="16" w:name="page17"/>
    <w:bookmarkEnd w:id="16"/>
    <w:p>
      <w:pPr>
        <w:ind w:left="3600"/>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117" w:lineRule="exact"/>
        <w:rPr>
          <w:sz w:val="20"/>
          <w:szCs w:val="20"/>
          <w:color w:val="auto"/>
        </w:rPr>
      </w:pPr>
    </w:p>
    <w:p>
      <w:pPr>
        <w:ind w:left="3080"/>
        <w:spacing w:after="0"/>
        <w:rPr>
          <w:sz w:val="20"/>
          <w:szCs w:val="20"/>
          <w:color w:val="auto"/>
        </w:rPr>
      </w:pPr>
      <w:r>
        <w:rPr>
          <w:rFonts w:ascii="Arial" w:cs="Arial" w:eastAsia="Arial" w:hAnsi="Arial"/>
          <w:sz w:val="18"/>
          <w:szCs w:val="18"/>
          <w:b w:val="1"/>
          <w:bCs w:val="1"/>
          <w:color w:val="auto"/>
        </w:rPr>
        <w:t>HESS CORPORATION AND CONSOLIDATED SUBSIDIARIES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respectively. A component of foreign exchange gains and losses is the result of foreign exchange derivative contracts that are not designated as hedges, which amounted to net gains of $1 million and $1 million in the three and nine months ended September 30, 2021, respectively, compared with net gains of $1 million and $4 million in the three and nine months ended September 30, 2020, respectively.</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Fair Value Measurement:</w:t>
      </w:r>
    </w:p>
    <w:p>
      <w:pPr>
        <w:spacing w:after="0" w:line="11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At September 30, 2021, consolidated long-term debt, which was substantially comprised of fixed-rate debt instruments, had a carrying value of $8,507 million and a fair value of $10,052 million based on Level 2 inputs in the fair value measurement hierarchy. We also have short-term financial instruments, primarily cash equivalents, accounts receivable and accounts payable, for which the carrying value approximated fair value at September 30, 2021 and December 31, 2020.</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Subsequent Events</w:t>
      </w:r>
    </w:p>
    <w:p>
      <w:pPr>
        <w:spacing w:after="0" w:line="108"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In October 2021, we received net proceeds of $108 million from the public offering of approximately 4.3 million Hess-owned Class A shares of Hess Midstream LP. As a result of this transaction, the Corporation's ownership in Hess Midstream LP, on a consolidated basis, decreased from approximately 45% at September 30, 2021 to approximately 44%.</w:t>
      </w:r>
    </w:p>
    <w:p>
      <w:pPr>
        <w:spacing w:after="0" w:line="67" w:lineRule="exact"/>
        <w:rPr>
          <w:sz w:val="20"/>
          <w:szCs w:val="20"/>
          <w:color w:val="auto"/>
        </w:rPr>
      </w:pPr>
    </w:p>
    <w:p>
      <w:pPr>
        <w:jc w:val="both"/>
        <w:spacing w:after="0" w:line="231" w:lineRule="auto"/>
        <w:rPr>
          <w:sz w:val="20"/>
          <w:szCs w:val="20"/>
          <w:color w:val="auto"/>
        </w:rPr>
      </w:pPr>
      <w:r>
        <w:rPr>
          <w:rFonts w:ascii="Arial" w:cs="Arial" w:eastAsia="Arial" w:hAnsi="Arial"/>
          <w:sz w:val="18"/>
          <w:szCs w:val="18"/>
          <w:color w:val="auto"/>
        </w:rPr>
        <w:t>In October 2021, we entered into additional WTI collars for 10,000 bopd and Brent collars for 30,000 bopd for calendar 2022 with contract terms consistent with our other calendar 2022 hedge contracts outstanding at September 30, 2021. As a result, for calendar 2022 we have WTI collars with an average monthly floor price of $60 per barrel and an average monthly ceiling price of $90 per barrel for 90,000 bopd and Brent collars with an average monthly floor price of $65 per barrel and an average monthly ceiling price of $95 per barrel for 60,000 bopd.</w:t>
      </w: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7" w:name="page18"/>
    <w:bookmarkEnd w:id="17"/>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2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i w:val="1"/>
          <w:iCs w:val="1"/>
          <w:color w:val="auto"/>
        </w:rPr>
        <w:t>The following Management’s Discussion and Analysis of Financial Condition and Results of Operations should be read together with the unaudited consolidated financial statements and accompanying footnotes for the quarter ended September 30, 2021 included under Item 1. Financial Statements of this Form 10-Q and the audited consolidated financial statements and related notes included in Item 8 of our Annual Report on Form 10-K for the year ended December 31, 2020. This discussion contains forward-looking statements that involve risks and uncertainties. Our actual results could differ materially from those discussed below. Factors that could cause or contribute to such differences include, but are not limited to, those discussed in Item 1A. Risk Factors of our Annual Report on Form 10-K for the year ended December 31, 2020.</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Overview</w:t>
      </w:r>
    </w:p>
    <w:p>
      <w:pPr>
        <w:spacing w:after="0" w:line="121"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Hess Corporation is a global E&amp;P company engaged in exploration, development, production, transportation, purchase and sale of crude oil, natural gas liquids, and natural gas with production operations located primarily in the United States (U.S.), Guyana, the Malaysia/Thailand Joint Development Area (JDA), and Malaysia. We conduct exploration activities primarily offshore Guyana, in the U.S. Gulf of Mexico, and offshore Suriname and Canada. At the Stabroek Block (Hess 30%), offshore Guyana, we and our partners have discovered a significant resource base and are executing a multi-phased development of the Block. The Liza Phase 1 development achieved first production in December 2019, and has a nameplate production capacity of approximately 120,000 gross bopd. The Liza Phase 2 development was sanctioned in the second quarter of 2019 and remains on track to achieve first production by early 2022, with production capacity of approximately 220,000 gross bopd. A third development, Payara, was sanctioned in the third quarter of 2020 and is expected to achieve first production in 2024, with production capacity of approximately 220,000 gross bopd. A fourth development, Yellowtail, has been identified on the Stabroek Block with an expected production capacity of approximately 250,000 gross bopd and an anticipated startup in 2025, pending government approvals and project sanctioning. The discovered resources to date on the Stabroek Block are expected to underpin up to ten floating production, storage and offloading vessels (FPSOs) with the first six FPSOs expected by 2027.</w:t>
      </w:r>
    </w:p>
    <w:p>
      <w:pPr>
        <w:spacing w:after="0" w:line="6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Our Midstream operating segment provides fee-based services, including gathering, compressing and processing natural gas and fractionating natural gas liquids (NGL); gathering, terminaling, loading and transporting crude oil and NGL; storing and terminaling propane, and water handling services primarily in the Bakken shale play in the Williston Basin area of North Dakota.</w:t>
      </w:r>
    </w:p>
    <w:p>
      <w:pPr>
        <w:spacing w:after="0" w:line="76"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In March 2021, the Corporation received net proceeds of $70 million from the public offering of 3.45 million Hess-owned Class A shares of Hess Midstream LP. In August 2021, HESM Opco, a consolidated subsidiary of Hess Midstream LP, repurchased 31.25 million HESM Opco Class B units held by a subsidiary of Hess Corporation and an affiliate of GIP for $750 million. We received net proceeds of $375 million. HESM Opco issued $750 million in aggregate principal amount of 4.250% fixed-rate senior unsecured notes due 2030 in a private offering to finance the repurchase. In October 2021, we received net proceeds of $108 million from the public offering of approximately 4.3 million Hess-owned Class A shares of Hess Midstream LP. After giving effect to these transactions, the Corporation owns an approximate 44% interest in Hess Midstream LP, on a consolidated basis.</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Hess Response to Global Pandemic</w:t>
      </w:r>
    </w:p>
    <w:p>
      <w:pPr>
        <w:spacing w:after="0" w:line="12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COVID-19 continues to have a profound impact on society and industry. The Corporation’s first priority in the midst of the pandemic has been the health and safety of the Hess workforce and local communities where the Corporation operates. A multidisciplinary Hess emergency response team has been overseeing plans and precautions to reduce the risks of COVID-19 in the work environment while maintaining business continuity based on the most current recommendations by government and public health agencies. The Corporation has implemented a variety of health and safety measures including enhanced cleaning procedures and modified work practices such as travel restrictions, health screenings, reduced personnel at offshore platforms and onshore work sites wherever this can be done safely, and remote working arrangements for office workers.</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Third Quarter Highlights and Outlook</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E&amp;P capital and exploratory expenditures in 2021 are forecast to be approximately $1.9 billion. Oil and gas production in 2021, excluding Libya, is forecast to be approximately 295,000 barrels of oil equivalent per day (boepd). For the remainder of 2021, we have hedged 120,000 bopd with $55 WTI put options and 30,000 bopd with $60 Brent put options. For calendar 2022, we have hedged 90,000 bopd with WTI collars with an average monthly floor price of $60 per barrel and an average monthly ceiling price of $90 per barrel, and 60,000 bopd with Brent collars with an average monthly floor price of $65 per barrel and an average monthly ceiling price of $95 per barrel.</w:t>
      </w:r>
    </w:p>
    <w:p>
      <w:pPr>
        <w:spacing w:after="0" w:line="26" w:lineRule="exact"/>
        <w:rPr>
          <w:sz w:val="20"/>
          <w:szCs w:val="20"/>
          <w:color w:val="auto"/>
        </w:rPr>
      </w:pPr>
    </w:p>
    <w:p>
      <w:pPr>
        <w:jc w:val="both"/>
        <w:spacing w:after="0" w:line="231" w:lineRule="auto"/>
        <w:rPr>
          <w:sz w:val="20"/>
          <w:szCs w:val="20"/>
          <w:color w:val="auto"/>
        </w:rPr>
      </w:pPr>
      <w:r>
        <w:rPr>
          <w:rFonts w:ascii="Arial" w:cs="Arial" w:eastAsia="Arial" w:hAnsi="Arial"/>
          <w:sz w:val="18"/>
          <w:szCs w:val="18"/>
          <w:color w:val="auto"/>
        </w:rPr>
        <w:t>In the third quarter of 2021, we received net proceeds of approximately $130 million from the sale of our interests in Denmark and $375 million from the repurchase by HESM Opco of approximately 15.6 million Hess-owned Class B units. We also repaid $500 million of our $1 billion term loan and we intend to repay the remaining $500 million in 2022. In October, we received net proceeds of $108 million from the public offering of approximately 4.3 million Hess-owned Class A shares of Hess Midstream LP.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18" w:name="page19"/>
    <w:bookmarkEnd w:id="18"/>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Overview (continued)</w:t>
      </w:r>
    </w:p>
    <w:p>
      <w:pPr>
        <w:spacing w:after="0" w:line="121"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Net cash provided by operating activities was $1,991 million in the first nine months of 2021, compared with $847 million in the first nine months of 2020. Net cash provided by operating activities before changes in operating assets and liabilities was $2,105 million in the first nine months of 2021 and $1,271 million in the first nine months of 2020. Capital expenditures were $1,274 million in the first nine months of 2021 and $1,540 million in the first nine months of 2020. Excluding our Midstream segment, we ended the third quarter of 2021 with $2.41 billion in cash and cash equivalents. In 2022, based on current forward strip crude oil prices, we expect cash flow from operating activities and cash and cash equivalents at September 30, 2021 will be sufficient to fund our capital investment program, dividends, and the repayment of the remaining $500 million outstanding under our $1 billion term loan. Depending on market conditions, we may take any of the following steps, or a combination thereof, to improve our liquidity and financial position: reduce the planned capital program and other cash outlays, including dividends, pursue asset sales, borrow against our committed revolving credit facility, or issue debt or equity securities.</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Third Quarter Results</w:t>
      </w:r>
    </w:p>
    <w:p>
      <w:pPr>
        <w:spacing w:after="0" w:line="121"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In the third quarter of 2021, net income was $115 million, compared with a net loss of $243 million in the third quarter of 2020. Excluding items affecting comparability of earnings between periods detailed on pages 25 to 28, adjusted net income was $86 million in the third quarter of 2021, compared with an adjusted net loss of $216 million in the third quarter of 2020. The improvement in third quarter 2021 adjusted after-tax results compared to the prior-year quarter primarily reflects higher realized selling prices, partially offset by the impact of lower net production, including curtailed production in the Bakken related to the Tioga Gas Plant maintenance turnaround and reduced Gulf of Mexico production due to Hurricane Ida.</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Exploration and Production Results</w:t>
      </w:r>
    </w:p>
    <w:p>
      <w:pPr>
        <w:spacing w:after="0" w:line="121"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In the third quarter of 2021, E&amp;P had net income of $178 million, compared with a net loss of $182 million in the third quarter of 2020. Excluding items affecting comparability of earnings between periods, adjusted net income was $149 million in the third quarter of 2021, compared with an adjusted net loss of $156 million in the third quarter of 2020. Total net production, excluding Libya, averaged 265,000 boepd in the third quarter 2021, compared with 321,000 boepd in the third quarter of 2020. The average realized crude oil selling price, including hedging, was $63.17 per barrel in the third quarter of 2021, compared with $45.60 per barrel in the third quarter of 2020. The average realized NGL selling price in the third quarter of 2021 was $32.88 per barrel, compared with $11.63 per barrel in the prior-year quarter, while the average realized natural gas selling price was $4.71 per thousand cubic feet (mcf) in the third quarter of 2021, compared with $2.94 per mcf in the third quarter of 2020.</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an update of our ongoing E&amp;P activities:</w:t>
      </w:r>
    </w:p>
    <w:p>
      <w:pPr>
        <w:spacing w:after="0" w:line="117" w:lineRule="exact"/>
        <w:rPr>
          <w:sz w:val="20"/>
          <w:szCs w:val="20"/>
          <w:color w:val="auto"/>
        </w:rPr>
      </w:pPr>
    </w:p>
    <w:p>
      <w:pPr>
        <w:jc w:val="both"/>
        <w:ind w:left="540" w:hanging="168"/>
        <w:spacing w:after="0" w:line="269" w:lineRule="auto"/>
        <w:tabs>
          <w:tab w:leader="none" w:pos="535" w:val="left"/>
        </w:tabs>
        <w:numPr>
          <w:ilvl w:val="0"/>
          <w:numId w:val="5"/>
        </w:numPr>
        <w:rPr>
          <w:rFonts w:ascii="Arial" w:cs="Arial" w:eastAsia="Arial" w:hAnsi="Arial"/>
          <w:sz w:val="17"/>
          <w:szCs w:val="17"/>
          <w:color w:val="auto"/>
        </w:rPr>
      </w:pPr>
      <w:r>
        <w:rPr>
          <w:rFonts w:ascii="Arial" w:cs="Arial" w:eastAsia="Arial" w:hAnsi="Arial"/>
          <w:sz w:val="17"/>
          <w:szCs w:val="17"/>
          <w:color w:val="auto"/>
        </w:rPr>
        <w:t>In North Dakota, net production from the Bakken oil shale play averaged 148,000 boepd for the third quarter of 2021 (2020 Q3: 198,000 boepd), primarily due to the impact of lower drilling activity caused by a reduction in rig count from six to one during the first half of last year, lower NGL and natural gas volumes received under percentage of proceeds contracts due to higher commodity prices, curtailed production related to the planned Tioga Gas Plant maintenance turnaround completed in the quarter, and the second quarter 2021 sale of our Little Knife and Murphy Creek nonstrategic acreage interests. Net oil production was 78,000 bopd in the third quarter of 2021 and 108,000 bopd in the prior year quarter. NGL and natural gas volumes received under percentage of proceeds contracts were 9,000 boepd in the third quarter of 2021 compared with 22,000 boepd in the third quarter of 2020 due to higher realized NGL prices lowering volumes received as consideration for gas processing fees. In 2021, we added a second rig in February and a third rig in September. We drilled 18 wells, completed 22 wells, and brought 19 new wells online during the third quarter. We forecast net production to average in the range of 155,000 boepd to 160,000 boepd for the fourth quarter of 2021 and approximately 155,000 boepd for the full year 2021.</w:t>
      </w:r>
    </w:p>
    <w:p>
      <w:pPr>
        <w:spacing w:after="0" w:line="77" w:lineRule="exact"/>
        <w:rPr>
          <w:rFonts w:ascii="Arial" w:cs="Arial" w:eastAsia="Arial" w:hAnsi="Arial"/>
          <w:sz w:val="17"/>
          <w:szCs w:val="17"/>
          <w:color w:val="auto"/>
        </w:rPr>
      </w:pPr>
    </w:p>
    <w:p>
      <w:pPr>
        <w:jc w:val="both"/>
        <w:ind w:left="540" w:hanging="168"/>
        <w:spacing w:after="0" w:line="263" w:lineRule="auto"/>
        <w:tabs>
          <w:tab w:leader="none" w:pos="535" w:val="left"/>
        </w:tabs>
        <w:numPr>
          <w:ilvl w:val="0"/>
          <w:numId w:val="5"/>
        </w:numPr>
        <w:rPr>
          <w:rFonts w:ascii="Arial" w:cs="Arial" w:eastAsia="Arial" w:hAnsi="Arial"/>
          <w:sz w:val="18"/>
          <w:szCs w:val="18"/>
          <w:color w:val="auto"/>
        </w:rPr>
      </w:pPr>
      <w:r>
        <w:rPr>
          <w:rFonts w:ascii="Arial" w:cs="Arial" w:eastAsia="Arial" w:hAnsi="Arial"/>
          <w:sz w:val="18"/>
          <w:szCs w:val="18"/>
          <w:color w:val="auto"/>
        </w:rPr>
        <w:t>In the Gulf of Mexico, net production for the third quarter of 2021 averaged 32,000 boepd (2020 Q3: 49,000 boepd), primarily due to the sale of our interest in the Shenzi Field in the fourth quarter of 2020, higher hurricane related downtime in the third quarter of 2021, and natural field decline. Net production from the Shenzi Field was 9,000 boepd in the third quarter of 2020.</w:t>
      </w:r>
    </w:p>
    <w:p>
      <w:pPr>
        <w:spacing w:after="0" w:line="75" w:lineRule="exact"/>
        <w:rPr>
          <w:rFonts w:ascii="Arial" w:cs="Arial" w:eastAsia="Arial" w:hAnsi="Arial"/>
          <w:sz w:val="18"/>
          <w:szCs w:val="18"/>
          <w:color w:val="auto"/>
        </w:rPr>
      </w:pPr>
    </w:p>
    <w:p>
      <w:pPr>
        <w:jc w:val="both"/>
        <w:ind w:left="540" w:hanging="168"/>
        <w:spacing w:after="0" w:line="242" w:lineRule="auto"/>
        <w:tabs>
          <w:tab w:leader="none" w:pos="535" w:val="left"/>
        </w:tabs>
        <w:numPr>
          <w:ilvl w:val="0"/>
          <w:numId w:val="5"/>
        </w:numPr>
        <w:rPr>
          <w:rFonts w:ascii="Arial" w:cs="Arial" w:eastAsia="Arial" w:hAnsi="Arial"/>
          <w:sz w:val="18"/>
          <w:szCs w:val="18"/>
          <w:color w:val="auto"/>
        </w:rPr>
      </w:pPr>
      <w:r>
        <w:rPr>
          <w:rFonts w:ascii="Arial" w:cs="Arial" w:eastAsia="Arial" w:hAnsi="Arial"/>
          <w:sz w:val="18"/>
          <w:szCs w:val="18"/>
          <w:color w:val="auto"/>
        </w:rPr>
        <w:t>At the Stabroek Block (Hess 30%), offshore Guyana, net production from the Liza Phase 1 development averaged 32,000 bopd for the third quarter of 2021 (2020 Q3: 19,000 bopd). The Liza Unity FPSO, with an expected capacity of 220,000 gross bopd, arrived at the Stabroek Block on October 25</w:t>
      </w:r>
      <w:r>
        <w:rPr>
          <w:rFonts w:ascii="Arial" w:cs="Arial" w:eastAsia="Arial" w:hAnsi="Arial"/>
          <w:sz w:val="23"/>
          <w:szCs w:val="23"/>
          <w:color w:val="auto"/>
          <w:vertAlign w:val="superscript"/>
        </w:rPr>
        <w:t>th</w:t>
      </w:r>
      <w:r>
        <w:rPr>
          <w:rFonts w:ascii="Arial" w:cs="Arial" w:eastAsia="Arial" w:hAnsi="Arial"/>
          <w:sz w:val="18"/>
          <w:szCs w:val="18"/>
          <w:color w:val="auto"/>
        </w:rPr>
        <w:t>, and startup of Phase 2 of the Liza Field development remains on track for early 2022. The third development, Payara, will utilize the Prosperity FPSO with an expected capacity of 220,000 gross bopd; first oil is expected in 2024. A fourth development, Yellowtail, has been identified on the Stabroek Block with an expected production capacity of approximately 250,000 gross bopd and an anticipated startup in 2025, pending government approvals and project sanctioning.</w:t>
      </w:r>
    </w:p>
    <w:p>
      <w:pPr>
        <w:sectPr>
          <w:pgSz w:w="11900" w:h="16838" w:orient="portrait"/>
          <w:cols w:equalWidth="0" w:num="1">
            <w:col w:w="11240"/>
          </w:cols>
          <w:pgMar w:left="320" w:top="58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type w:val="continuous"/>
        </w:sectPr>
      </w:pPr>
    </w:p>
    <w:bookmarkStart w:id="19" w:name="page20"/>
    <w:bookmarkEnd w:id="19"/>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Overview (continued)</w:t>
      </w:r>
    </w:p>
    <w:p>
      <w:pPr>
        <w:spacing w:after="0" w:line="108" w:lineRule="exact"/>
        <w:rPr>
          <w:sz w:val="20"/>
          <w:szCs w:val="20"/>
          <w:color w:val="auto"/>
        </w:rPr>
      </w:pPr>
    </w:p>
    <w:p>
      <w:pPr>
        <w:jc w:val="both"/>
        <w:ind w:left="540"/>
        <w:spacing w:after="0"/>
        <w:rPr>
          <w:sz w:val="20"/>
          <w:szCs w:val="20"/>
          <w:color w:val="auto"/>
        </w:rPr>
      </w:pPr>
      <w:r>
        <w:rPr>
          <w:rFonts w:ascii="Arial" w:cs="Arial" w:eastAsia="Arial" w:hAnsi="Arial"/>
          <w:sz w:val="17"/>
          <w:szCs w:val="17"/>
          <w:color w:val="auto"/>
        </w:rPr>
        <w:t>Since July, we have announced the 19th, 20th, and 21st significant discoveries on the Stabroek Block. The Whiptail-1 well encountered 246 feet of net pay in high quality oil bearing sandstone reservoirs, and the Whiptail-2 well, which is located 3 miles northeast of Whiptail-1, encountered 167 feet of net pay in high quality oil bearing sandstone reservoirs. The Pinktail well encountered 220 feet of net pay in high quality oil bearing sandstone reservoirs. Pinktail is located approximately 21.7 miles southeast of the Liza Phase 1 development and approximately 3.7 miles southeast of Yellowtail-1. The Cataback well encountered 243 feet of net pay in high quality hydrocarbon bearing sandstone reservoirs of which 102 feet is oil bearing. Cataback is located approximately 3.7 miles east of the Turbot-1 well.</w:t>
      </w:r>
    </w:p>
    <w:p>
      <w:pPr>
        <w:spacing w:after="0" w:line="83" w:lineRule="exact"/>
        <w:rPr>
          <w:sz w:val="20"/>
          <w:szCs w:val="20"/>
          <w:color w:val="auto"/>
        </w:rPr>
      </w:pPr>
    </w:p>
    <w:p>
      <w:pPr>
        <w:jc w:val="both"/>
        <w:ind w:left="540"/>
        <w:spacing w:after="0" w:line="257" w:lineRule="auto"/>
        <w:rPr>
          <w:sz w:val="20"/>
          <w:szCs w:val="20"/>
          <w:color w:val="auto"/>
        </w:rPr>
      </w:pPr>
      <w:r>
        <w:rPr>
          <w:rFonts w:ascii="Arial" w:cs="Arial" w:eastAsia="Arial" w:hAnsi="Arial"/>
          <w:sz w:val="18"/>
          <w:szCs w:val="18"/>
          <w:color w:val="auto"/>
        </w:rPr>
        <w:t>Following the completion of the Cataback well, the Noble Tom Madden commenced Phase 2 drilling and completion activities. The Stena Carron completed drill stem tests on Uaru-1 and Mako-2 and is currently performing a drill stem test on Longtail-2. Following the completion of the Pinktail well, the Noble Don Taylor commenced development drilling at Payara. The Noble Sam Croft and Noble Bob Douglas are currently drilling and completing Phase 2 development wells, and the Stena Drillmax left the Stabroek Block following the completion of the Whiptail-1 well and will return in the fourth quarter to drill the Fangtooth prospect.</w:t>
      </w:r>
    </w:p>
    <w:p>
      <w:pPr>
        <w:spacing w:after="0" w:line="80" w:lineRule="exact"/>
        <w:rPr>
          <w:sz w:val="20"/>
          <w:szCs w:val="20"/>
          <w:color w:val="auto"/>
        </w:rPr>
      </w:pPr>
    </w:p>
    <w:p>
      <w:pPr>
        <w:jc w:val="both"/>
        <w:ind w:left="540" w:hanging="168"/>
        <w:spacing w:after="0" w:line="263" w:lineRule="auto"/>
        <w:tabs>
          <w:tab w:leader="none" w:pos="535" w:val="left"/>
        </w:tabs>
        <w:numPr>
          <w:ilvl w:val="0"/>
          <w:numId w:val="6"/>
        </w:numPr>
        <w:rPr>
          <w:rFonts w:ascii="Arial" w:cs="Arial" w:eastAsia="Arial" w:hAnsi="Arial"/>
          <w:sz w:val="18"/>
          <w:szCs w:val="18"/>
          <w:color w:val="auto"/>
        </w:rPr>
      </w:pPr>
      <w:r>
        <w:rPr>
          <w:rFonts w:ascii="Arial" w:cs="Arial" w:eastAsia="Arial" w:hAnsi="Arial"/>
          <w:sz w:val="18"/>
          <w:szCs w:val="18"/>
          <w:color w:val="auto"/>
        </w:rPr>
        <w:t>In the Gulf of Thailand, net production from Block A-18 of the JDA averaged 30,000 boepd for the third quarter of 2021 (2020 Q3: 27,000 boepd), including contribution from unitized acreage in Malaysia, while net production from North Malay Basin, offshore Peninsular Malaysia, averaged 20,000 boepd for the third quarter of 2021 (2020 Q3: 23,000 boepd).</w:t>
      </w:r>
    </w:p>
    <w:p>
      <w:pPr>
        <w:spacing w:after="0" w:line="75" w:lineRule="exact"/>
        <w:rPr>
          <w:rFonts w:ascii="Arial" w:cs="Arial" w:eastAsia="Arial" w:hAnsi="Arial"/>
          <w:sz w:val="18"/>
          <w:szCs w:val="18"/>
          <w:color w:val="auto"/>
        </w:rPr>
      </w:pPr>
    </w:p>
    <w:p>
      <w:pPr>
        <w:ind w:left="540" w:right="20" w:hanging="168"/>
        <w:spacing w:after="0" w:line="277" w:lineRule="auto"/>
        <w:tabs>
          <w:tab w:leader="none" w:pos="535" w:val="left"/>
        </w:tabs>
        <w:numPr>
          <w:ilvl w:val="0"/>
          <w:numId w:val="6"/>
        </w:numPr>
        <w:rPr>
          <w:rFonts w:ascii="Arial" w:cs="Arial" w:eastAsia="Arial" w:hAnsi="Arial"/>
          <w:sz w:val="18"/>
          <w:szCs w:val="18"/>
          <w:color w:val="auto"/>
        </w:rPr>
      </w:pPr>
      <w:r>
        <w:rPr>
          <w:rFonts w:ascii="Arial" w:cs="Arial" w:eastAsia="Arial" w:hAnsi="Arial"/>
          <w:sz w:val="18"/>
          <w:szCs w:val="18"/>
          <w:color w:val="auto"/>
        </w:rPr>
        <w:t>In August, we completed the sale of our interests in Denmark for adjusted proceeds of approximately $130 million. Net production from Denmark during the third quarter of 2021 was 3,000 boepd (2020 Q3: 5,000 boepd).</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Consolidated Results of Operations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after-tax income (loss) by major operating activity is summarized below:</w:t>
      </w:r>
    </w:p>
    <w:p>
      <w:pPr>
        <w:spacing w:after="0" w:line="105"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140" w:type="dxa"/>
            <w:vAlign w:val="bottom"/>
          </w:tcPr>
          <w:p>
            <w:pPr>
              <w:spacing w:after="0"/>
              <w:rPr>
                <w:sz w:val="14"/>
                <w:szCs w:val="14"/>
                <w:color w:val="auto"/>
              </w:rPr>
            </w:pPr>
          </w:p>
        </w:tc>
        <w:tc>
          <w:tcPr>
            <w:tcW w:w="2060" w:type="dxa"/>
            <w:vAlign w:val="bottom"/>
            <w:gridSpan w:val="4"/>
          </w:tcPr>
          <w:p>
            <w:pPr>
              <w:jc w:val="right"/>
              <w:ind w:right="82"/>
              <w:spacing w:after="0"/>
              <w:rPr>
                <w:sz w:val="20"/>
                <w:szCs w:val="20"/>
                <w:color w:val="auto"/>
              </w:rPr>
            </w:pPr>
            <w:r>
              <w:rPr>
                <w:rFonts w:ascii="Arial" w:cs="Arial" w:eastAsia="Arial" w:hAnsi="Arial"/>
                <w:sz w:val="14"/>
                <w:szCs w:val="14"/>
                <w:b w:val="1"/>
                <w:bCs w:val="1"/>
                <w:color w:val="auto"/>
              </w:rPr>
              <w:t>Three Months Ended</w:t>
            </w: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0" w:type="dxa"/>
            <w:vAlign w:val="bottom"/>
            <w:gridSpan w:val="4"/>
          </w:tcPr>
          <w:p>
            <w:pPr>
              <w:jc w:val="right"/>
              <w:ind w:right="54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88"/>
        </w:trPr>
        <w:tc>
          <w:tcPr>
            <w:tcW w:w="6140" w:type="dxa"/>
            <w:vAlign w:val="bottom"/>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3"/>
          </w:tcPr>
          <w:p>
            <w:pPr>
              <w:jc w:val="right"/>
              <w:ind w:right="302"/>
              <w:spacing w:after="0"/>
              <w:rPr>
                <w:sz w:val="20"/>
                <w:szCs w:val="20"/>
                <w:color w:val="auto"/>
              </w:rPr>
            </w:pPr>
            <w:r>
              <w:rPr>
                <w:rFonts w:ascii="Arial" w:cs="Arial" w:eastAsia="Arial" w:hAnsi="Arial"/>
                <w:sz w:val="14"/>
                <w:szCs w:val="14"/>
                <w:b w:val="1"/>
                <w:bCs w:val="1"/>
                <w:color w:val="auto"/>
                <w:w w:val="91"/>
              </w:rPr>
              <w:t>September 30,</w:t>
            </w:r>
          </w:p>
        </w:tc>
        <w:tc>
          <w:tcPr>
            <w:tcW w:w="4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6140" w:type="dxa"/>
            <w:vAlign w:val="bottom"/>
          </w:tcPr>
          <w:p>
            <w:pPr>
              <w:spacing w:after="0"/>
              <w:rPr>
                <w:sz w:val="15"/>
                <w:szCs w:val="15"/>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2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62"/>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w w:val="96"/>
              </w:rPr>
              <w:t>2020</w:t>
            </w:r>
          </w:p>
        </w:tc>
        <w:tc>
          <w:tcPr>
            <w:tcW w:w="0" w:type="dxa"/>
            <w:vAlign w:val="bottom"/>
          </w:tcPr>
          <w:p>
            <w:pPr>
              <w:spacing w:after="0"/>
              <w:rPr>
                <w:sz w:val="1"/>
                <w:szCs w:val="1"/>
                <w:color w:val="auto"/>
              </w:rPr>
            </w:pPr>
          </w:p>
        </w:tc>
      </w:tr>
      <w:tr>
        <w:trPr>
          <w:trHeight w:val="212"/>
        </w:trPr>
        <w:tc>
          <w:tcPr>
            <w:tcW w:w="6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0" w:type="dxa"/>
            <w:vAlign w:val="bottom"/>
            <w:gridSpan w:val="6"/>
          </w:tcPr>
          <w:p>
            <w:pPr>
              <w:ind w:left="40"/>
              <w:spacing w:after="0"/>
              <w:rPr>
                <w:sz w:val="20"/>
                <w:szCs w:val="20"/>
                <w:color w:val="auto"/>
              </w:rPr>
            </w:pPr>
            <w:r>
              <w:rPr>
                <w:rFonts w:ascii="Arial" w:cs="Arial" w:eastAsia="Arial" w:hAnsi="Arial"/>
                <w:sz w:val="14"/>
                <w:szCs w:val="14"/>
                <w:b w:val="1"/>
                <w:bCs w:val="1"/>
                <w:color w:val="auto"/>
                <w:w w:val="97"/>
              </w:rPr>
              <w:t>(In millions, except per share amounts)</w:t>
            </w: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6140" w:type="dxa"/>
            <w:vAlign w:val="bottom"/>
          </w:tcPr>
          <w:p>
            <w:pPr>
              <w:spacing w:after="0"/>
              <w:rPr>
                <w:sz w:val="20"/>
                <w:szCs w:val="20"/>
                <w:color w:val="auto"/>
              </w:rPr>
            </w:pPr>
            <w:r>
              <w:rPr>
                <w:rFonts w:ascii="Arial" w:cs="Arial" w:eastAsia="Arial" w:hAnsi="Arial"/>
                <w:sz w:val="16"/>
                <w:szCs w:val="16"/>
                <w:b w:val="1"/>
                <w:bCs w:val="1"/>
                <w:color w:val="auto"/>
              </w:rPr>
              <w:t>Net Income (Loss) Attributable to Hess Corporation:</w:t>
            </w:r>
          </w:p>
        </w:tc>
        <w:tc>
          <w:tcPr>
            <w:tcW w:w="7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6140" w:type="dxa"/>
            <w:vAlign w:val="bottom"/>
          </w:tcPr>
          <w:p>
            <w:pPr>
              <w:ind w:left="120"/>
              <w:spacing w:after="0"/>
              <w:rPr>
                <w:sz w:val="20"/>
                <w:szCs w:val="20"/>
                <w:color w:val="auto"/>
              </w:rPr>
            </w:pPr>
            <w:r>
              <w:rPr>
                <w:rFonts w:ascii="Arial" w:cs="Arial" w:eastAsia="Arial" w:hAnsi="Arial"/>
                <w:sz w:val="16"/>
                <w:szCs w:val="16"/>
                <w:color w:val="auto"/>
              </w:rPr>
              <w:t>Exploration and Production</w:t>
            </w:r>
          </w:p>
        </w:tc>
        <w:tc>
          <w:tcPr>
            <w:tcW w:w="780" w:type="dxa"/>
            <w:vAlign w:val="bottom"/>
          </w:tcPr>
          <w:p>
            <w:pPr>
              <w:jc w:val="right"/>
              <w:ind w:right="602"/>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178</w:t>
            </w:r>
          </w:p>
        </w:tc>
        <w:tc>
          <w:tcPr>
            <w:tcW w:w="100" w:type="dxa"/>
            <w:vAlign w:val="bottom"/>
          </w:tcPr>
          <w:p>
            <w:pPr>
              <w:spacing w:after="0"/>
              <w:rPr>
                <w:sz w:val="18"/>
                <w:szCs w:val="18"/>
                <w:color w:val="auto"/>
              </w:rPr>
            </w:pPr>
          </w:p>
        </w:tc>
        <w:tc>
          <w:tcPr>
            <w:tcW w:w="760" w:type="dxa"/>
            <w:vAlign w:val="bottom"/>
          </w:tcPr>
          <w:p>
            <w:pPr>
              <w:jc w:val="right"/>
              <w:ind w:right="582"/>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(182)</w:t>
            </w:r>
          </w:p>
        </w:tc>
        <w:tc>
          <w:tcPr>
            <w:tcW w:w="12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461</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(2,802)</w:t>
            </w:r>
          </w:p>
        </w:tc>
        <w:tc>
          <w:tcPr>
            <w:tcW w:w="0" w:type="dxa"/>
            <w:vAlign w:val="bottom"/>
          </w:tcPr>
          <w:p>
            <w:pPr>
              <w:spacing w:after="0"/>
              <w:rPr>
                <w:sz w:val="1"/>
                <w:szCs w:val="1"/>
                <w:color w:val="auto"/>
              </w:rPr>
            </w:pPr>
          </w:p>
        </w:tc>
      </w:tr>
      <w:tr>
        <w:trPr>
          <w:trHeight w:val="216"/>
        </w:trPr>
        <w:tc>
          <w:tcPr>
            <w:tcW w:w="6140" w:type="dxa"/>
            <w:vAlign w:val="bottom"/>
          </w:tcPr>
          <w:p>
            <w:pPr>
              <w:ind w:left="120"/>
              <w:spacing w:after="0"/>
              <w:rPr>
                <w:sz w:val="20"/>
                <w:szCs w:val="20"/>
                <w:color w:val="auto"/>
              </w:rPr>
            </w:pPr>
            <w:r>
              <w:rPr>
                <w:rFonts w:ascii="Arial" w:cs="Arial" w:eastAsia="Arial" w:hAnsi="Arial"/>
                <w:sz w:val="16"/>
                <w:szCs w:val="16"/>
                <w:color w:val="auto"/>
              </w:rPr>
              <w:t>Midstream</w:t>
            </w:r>
          </w:p>
        </w:tc>
        <w:tc>
          <w:tcPr>
            <w:tcW w:w="7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61</w:t>
            </w: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56</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212</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168</w:t>
            </w:r>
          </w:p>
        </w:tc>
        <w:tc>
          <w:tcPr>
            <w:tcW w:w="0" w:type="dxa"/>
            <w:vAlign w:val="bottom"/>
          </w:tcPr>
          <w:p>
            <w:pPr>
              <w:spacing w:after="0"/>
              <w:rPr>
                <w:sz w:val="1"/>
                <w:szCs w:val="1"/>
                <w:color w:val="auto"/>
              </w:rPr>
            </w:pPr>
          </w:p>
        </w:tc>
      </w:tr>
      <w:tr>
        <w:trPr>
          <w:trHeight w:val="219"/>
        </w:trPr>
        <w:tc>
          <w:tcPr>
            <w:tcW w:w="6140" w:type="dxa"/>
            <w:vAlign w:val="bottom"/>
          </w:tcPr>
          <w:p>
            <w:pPr>
              <w:ind w:left="120"/>
              <w:spacing w:after="0"/>
              <w:rPr>
                <w:sz w:val="20"/>
                <w:szCs w:val="20"/>
                <w:color w:val="auto"/>
              </w:rPr>
            </w:pPr>
            <w:r>
              <w:rPr>
                <w:rFonts w:ascii="Arial" w:cs="Arial" w:eastAsia="Arial" w:hAnsi="Arial"/>
                <w:sz w:val="16"/>
                <w:szCs w:val="16"/>
                <w:color w:val="auto"/>
              </w:rPr>
              <w:t>Corporate, Interest and Other</w:t>
            </w:r>
          </w:p>
        </w:tc>
        <w:tc>
          <w:tcPr>
            <w:tcW w:w="78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6"/>
              </w:rPr>
              <w:t>(124)</w:t>
            </w:r>
          </w:p>
        </w:tc>
        <w:tc>
          <w:tcPr>
            <w:tcW w:w="100" w:type="dxa"/>
            <w:vAlign w:val="bottom"/>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(117)</w:t>
            </w:r>
          </w:p>
        </w:tc>
        <w:tc>
          <w:tcPr>
            <w:tcW w:w="1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(379)</w:t>
            </w:r>
          </w:p>
        </w:tc>
        <w:tc>
          <w:tcPr>
            <w:tcW w:w="1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(362)</w:t>
            </w:r>
          </w:p>
        </w:tc>
        <w:tc>
          <w:tcPr>
            <w:tcW w:w="0" w:type="dxa"/>
            <w:vAlign w:val="bottom"/>
          </w:tcPr>
          <w:p>
            <w:pPr>
              <w:spacing w:after="0"/>
              <w:rPr>
                <w:sz w:val="1"/>
                <w:szCs w:val="1"/>
                <w:color w:val="auto"/>
              </w:rPr>
            </w:pPr>
          </w:p>
        </w:tc>
      </w:tr>
      <w:tr>
        <w:trPr>
          <w:trHeight w:val="213"/>
        </w:trPr>
        <w:tc>
          <w:tcPr>
            <w:tcW w:w="6140" w:type="dxa"/>
            <w:vAlign w:val="bottom"/>
          </w:tcPr>
          <w:p>
            <w:pPr>
              <w:ind w:left="200"/>
              <w:spacing w:after="0"/>
              <w:rPr>
                <w:sz w:val="20"/>
                <w:szCs w:val="20"/>
                <w:color w:val="auto"/>
              </w:rPr>
            </w:pPr>
            <w:r>
              <w:rPr>
                <w:rFonts w:ascii="Arial" w:cs="Arial" w:eastAsia="Arial" w:hAnsi="Arial"/>
                <w:sz w:val="16"/>
                <w:szCs w:val="16"/>
                <w:b w:val="1"/>
                <w:bCs w:val="1"/>
                <w:color w:val="auto"/>
              </w:rPr>
              <w:t>Total</w:t>
            </w:r>
          </w:p>
        </w:tc>
        <w:tc>
          <w:tcPr>
            <w:tcW w:w="780" w:type="dxa"/>
            <w:vAlign w:val="bottom"/>
            <w:tcBorders>
              <w:bottom w:val="single" w:sz="8" w:color="auto"/>
            </w:tcBorders>
          </w:tcPr>
          <w:p>
            <w:pPr>
              <w:jc w:val="right"/>
              <w:ind w:right="602"/>
              <w:spacing w:after="0"/>
              <w:rPr>
                <w:sz w:val="20"/>
                <w:szCs w:val="20"/>
                <w:color w:val="auto"/>
              </w:rPr>
            </w:pPr>
            <w:r>
              <w:rPr>
                <w:rFonts w:ascii="Arial" w:cs="Arial" w:eastAsia="Arial" w:hAnsi="Arial"/>
                <w:sz w:val="16"/>
                <w:szCs w:val="16"/>
                <w:color w:val="auto"/>
                <w:w w:val="89"/>
              </w:rPr>
              <w:t>$</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115</w:t>
            </w:r>
          </w:p>
        </w:tc>
        <w:tc>
          <w:tcPr>
            <w:tcW w:w="100" w:type="dxa"/>
            <w:vAlign w:val="bottom"/>
          </w:tcPr>
          <w:p>
            <w:pPr>
              <w:spacing w:after="0"/>
              <w:rPr>
                <w:sz w:val="18"/>
                <w:szCs w:val="18"/>
                <w:color w:val="auto"/>
              </w:rPr>
            </w:pPr>
          </w:p>
        </w:tc>
        <w:tc>
          <w:tcPr>
            <w:tcW w:w="760" w:type="dxa"/>
            <w:vAlign w:val="bottom"/>
            <w:tcBorders>
              <w:bottom w:val="single" w:sz="8" w:color="auto"/>
            </w:tcBorders>
          </w:tcPr>
          <w:p>
            <w:pPr>
              <w:jc w:val="right"/>
              <w:ind w:right="582"/>
              <w:spacing w:after="0"/>
              <w:rPr>
                <w:sz w:val="20"/>
                <w:szCs w:val="20"/>
                <w:color w:val="auto"/>
              </w:rPr>
            </w:pPr>
            <w:r>
              <w:rPr>
                <w:rFonts w:ascii="Arial" w:cs="Arial" w:eastAsia="Arial" w:hAnsi="Arial"/>
                <w:sz w:val="16"/>
                <w:szCs w:val="16"/>
                <w:color w:val="auto"/>
                <w:w w:val="89"/>
              </w:rPr>
              <w:t>$</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(243)</w:t>
            </w:r>
          </w:p>
        </w:tc>
        <w:tc>
          <w:tcPr>
            <w:tcW w:w="120" w:type="dxa"/>
            <w:vAlign w:val="bottom"/>
          </w:tcPr>
          <w:p>
            <w:pPr>
              <w:spacing w:after="0"/>
              <w:rPr>
                <w:sz w:val="18"/>
                <w:szCs w:val="18"/>
                <w:color w:val="auto"/>
              </w:rPr>
            </w:pPr>
          </w:p>
        </w:tc>
        <w:tc>
          <w:tcPr>
            <w:tcW w:w="28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294</w:t>
            </w:r>
          </w:p>
        </w:tc>
        <w:tc>
          <w:tcPr>
            <w:tcW w:w="120" w:type="dxa"/>
            <w:vAlign w:val="bottom"/>
          </w:tcPr>
          <w:p>
            <w:pPr>
              <w:spacing w:after="0"/>
              <w:rPr>
                <w:sz w:val="18"/>
                <w:szCs w:val="18"/>
                <w:color w:val="auto"/>
              </w:rPr>
            </w:pPr>
          </w:p>
        </w:tc>
        <w:tc>
          <w:tcPr>
            <w:tcW w:w="4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(2,996)</w:t>
            </w:r>
          </w:p>
        </w:tc>
        <w:tc>
          <w:tcPr>
            <w:tcW w:w="0" w:type="dxa"/>
            <w:vAlign w:val="bottom"/>
          </w:tcPr>
          <w:p>
            <w:pPr>
              <w:spacing w:after="0"/>
              <w:rPr>
                <w:sz w:val="1"/>
                <w:szCs w:val="1"/>
                <w:color w:val="auto"/>
              </w:rPr>
            </w:pPr>
          </w:p>
        </w:tc>
      </w:tr>
      <w:tr>
        <w:trPr>
          <w:trHeight w:val="20"/>
        </w:trPr>
        <w:tc>
          <w:tcPr>
            <w:tcW w:w="6140" w:type="dxa"/>
            <w:vAlign w:val="bottom"/>
            <w:vMerge w:val="restart"/>
          </w:tcPr>
          <w:p>
            <w:pPr>
              <w:spacing w:after="0"/>
              <w:rPr>
                <w:sz w:val="20"/>
                <w:szCs w:val="20"/>
                <w:color w:val="auto"/>
              </w:rPr>
            </w:pPr>
            <w:r>
              <w:rPr>
                <w:rFonts w:ascii="Arial" w:cs="Arial" w:eastAsia="Arial" w:hAnsi="Arial"/>
                <w:sz w:val="16"/>
                <w:szCs w:val="16"/>
                <w:b w:val="1"/>
                <w:bCs w:val="1"/>
                <w:color w:val="auto"/>
              </w:rPr>
              <w:t>Net Income (Loss) Attributable to Hess Corporation Per Common Share:</w:t>
            </w:r>
          </w:p>
        </w:tc>
        <w:tc>
          <w:tcPr>
            <w:tcW w:w="78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6"/>
        </w:trPr>
        <w:tc>
          <w:tcPr>
            <w:tcW w:w="6140" w:type="dxa"/>
            <w:vAlign w:val="bottom"/>
            <w:vMerge w:val="continue"/>
          </w:tcPr>
          <w:p>
            <w:pPr>
              <w:spacing w:after="0"/>
              <w:rPr>
                <w:sz w:val="15"/>
                <w:szCs w:val="15"/>
                <w:color w:val="auto"/>
              </w:rPr>
            </w:pPr>
          </w:p>
        </w:tc>
        <w:tc>
          <w:tcPr>
            <w:tcW w:w="7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Basic</w:t>
            </w:r>
          </w:p>
        </w:tc>
        <w:tc>
          <w:tcPr>
            <w:tcW w:w="780" w:type="dxa"/>
            <w:vAlign w:val="bottom"/>
          </w:tcPr>
          <w:p>
            <w:pPr>
              <w:jc w:val="right"/>
              <w:ind w:right="602"/>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0.37</w:t>
            </w:r>
          </w:p>
        </w:tc>
        <w:tc>
          <w:tcPr>
            <w:tcW w:w="100" w:type="dxa"/>
            <w:vAlign w:val="bottom"/>
          </w:tcPr>
          <w:p>
            <w:pPr>
              <w:spacing w:after="0"/>
              <w:rPr>
                <w:sz w:val="18"/>
                <w:szCs w:val="18"/>
                <w:color w:val="auto"/>
              </w:rPr>
            </w:pPr>
          </w:p>
        </w:tc>
        <w:tc>
          <w:tcPr>
            <w:tcW w:w="760" w:type="dxa"/>
            <w:vAlign w:val="bottom"/>
          </w:tcPr>
          <w:p>
            <w:pPr>
              <w:jc w:val="right"/>
              <w:ind w:right="582"/>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w w:val="90"/>
              </w:rPr>
              <w:t>(0.80)</w:t>
            </w:r>
          </w:p>
        </w:tc>
        <w:tc>
          <w:tcPr>
            <w:tcW w:w="12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0.96</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(9.83)</w:t>
            </w:r>
          </w:p>
        </w:tc>
        <w:tc>
          <w:tcPr>
            <w:tcW w:w="0" w:type="dxa"/>
            <w:vAlign w:val="bottom"/>
          </w:tcPr>
          <w:p>
            <w:pPr>
              <w:spacing w:after="0"/>
              <w:rPr>
                <w:sz w:val="1"/>
                <w:szCs w:val="1"/>
                <w:color w:val="auto"/>
              </w:rPr>
            </w:pPr>
          </w:p>
        </w:tc>
      </w:tr>
      <w:tr>
        <w:trPr>
          <w:trHeight w:val="216"/>
        </w:trPr>
        <w:tc>
          <w:tcPr>
            <w:tcW w:w="6140" w:type="dxa"/>
            <w:vAlign w:val="bottom"/>
          </w:tcPr>
          <w:p>
            <w:pPr>
              <w:ind w:left="200"/>
              <w:spacing w:after="0"/>
              <w:rPr>
                <w:sz w:val="20"/>
                <w:szCs w:val="20"/>
                <w:color w:val="auto"/>
              </w:rPr>
            </w:pPr>
            <w:r>
              <w:rPr>
                <w:rFonts w:ascii="Arial" w:cs="Arial" w:eastAsia="Arial" w:hAnsi="Arial"/>
                <w:sz w:val="16"/>
                <w:szCs w:val="16"/>
                <w:color w:val="auto"/>
              </w:rPr>
              <w:t>Diluted</w:t>
            </w:r>
          </w:p>
        </w:tc>
        <w:tc>
          <w:tcPr>
            <w:tcW w:w="780" w:type="dxa"/>
            <w:vAlign w:val="bottom"/>
          </w:tcPr>
          <w:p>
            <w:pPr>
              <w:jc w:val="right"/>
              <w:ind w:right="602"/>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0.37</w:t>
            </w:r>
          </w:p>
        </w:tc>
        <w:tc>
          <w:tcPr>
            <w:tcW w:w="100" w:type="dxa"/>
            <w:vAlign w:val="bottom"/>
          </w:tcPr>
          <w:p>
            <w:pPr>
              <w:spacing w:after="0"/>
              <w:rPr>
                <w:sz w:val="18"/>
                <w:szCs w:val="18"/>
                <w:color w:val="auto"/>
              </w:rPr>
            </w:pPr>
          </w:p>
        </w:tc>
        <w:tc>
          <w:tcPr>
            <w:tcW w:w="760" w:type="dxa"/>
            <w:vAlign w:val="bottom"/>
          </w:tcPr>
          <w:p>
            <w:pPr>
              <w:jc w:val="right"/>
              <w:ind w:right="582"/>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w w:val="90"/>
              </w:rPr>
              <w:t>(0.80)</w:t>
            </w:r>
          </w:p>
        </w:tc>
        <w:tc>
          <w:tcPr>
            <w:tcW w:w="12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0.95</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(9.83)</w:t>
            </w:r>
          </w:p>
        </w:tc>
        <w:tc>
          <w:tcPr>
            <w:tcW w:w="0" w:type="dxa"/>
            <w:vAlign w:val="bottom"/>
          </w:tcPr>
          <w:p>
            <w:pPr>
              <w:spacing w:after="0"/>
              <w:rPr>
                <w:sz w:val="1"/>
                <w:szCs w:val="1"/>
                <w:color w:val="auto"/>
              </w:rPr>
            </w:pPr>
          </w:p>
        </w:tc>
      </w:tr>
    </w:tbl>
    <w:p>
      <w:pPr>
        <w:spacing w:after="0" w:line="3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Items Affecting Comparability of Earnings Between Periods</w:t>
      </w:r>
    </w:p>
    <w:p>
      <w:pPr>
        <w:spacing w:after="0" w:line="11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summarizes, on an after-tax basis, items of income (expense) that are included in net income (loss) and affect comparability of earnings between periods:</w:t>
      </w:r>
    </w:p>
    <w:p>
      <w:pPr>
        <w:spacing w:after="0" w:line="64"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160" w:type="dxa"/>
            <w:vAlign w:val="bottom"/>
          </w:tcPr>
          <w:p>
            <w:pPr>
              <w:spacing w:after="0"/>
              <w:rPr>
                <w:sz w:val="14"/>
                <w:szCs w:val="14"/>
                <w:color w:val="auto"/>
              </w:rPr>
            </w:pPr>
          </w:p>
        </w:tc>
        <w:tc>
          <w:tcPr>
            <w:tcW w:w="2080" w:type="dxa"/>
            <w:vAlign w:val="bottom"/>
            <w:gridSpan w:val="4"/>
          </w:tcPr>
          <w:p>
            <w:pPr>
              <w:jc w:val="right"/>
              <w:ind w:right="122"/>
              <w:spacing w:after="0"/>
              <w:rPr>
                <w:sz w:val="20"/>
                <w:szCs w:val="20"/>
                <w:color w:val="auto"/>
              </w:rPr>
            </w:pPr>
            <w:r>
              <w:rPr>
                <w:rFonts w:ascii="Arial" w:cs="Arial" w:eastAsia="Arial" w:hAnsi="Arial"/>
                <w:sz w:val="14"/>
                <w:szCs w:val="14"/>
                <w:b w:val="1"/>
                <w:bCs w:val="1"/>
                <w:color w:val="auto"/>
              </w:rPr>
              <w:t>Three Months Ended</w:t>
            </w: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80" w:type="dxa"/>
            <w:vAlign w:val="bottom"/>
            <w:gridSpan w:val="5"/>
          </w:tcPr>
          <w:p>
            <w:pPr>
              <w:jc w:val="right"/>
              <w:ind w:right="541"/>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616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3"/>
          </w:tcPr>
          <w:p>
            <w:pPr>
              <w:jc w:val="right"/>
              <w:ind w:right="322"/>
              <w:spacing w:after="0"/>
              <w:rPr>
                <w:sz w:val="20"/>
                <w:szCs w:val="20"/>
                <w:color w:val="auto"/>
              </w:rPr>
            </w:pPr>
            <w:r>
              <w:rPr>
                <w:rFonts w:ascii="Arial" w:cs="Arial" w:eastAsia="Arial" w:hAnsi="Arial"/>
                <w:sz w:val="14"/>
                <w:szCs w:val="14"/>
                <w:b w:val="1"/>
                <w:bCs w:val="1"/>
                <w:color w:val="auto"/>
                <w:w w:val="93"/>
              </w:rPr>
              <w:t>September 30,</w:t>
            </w:r>
          </w:p>
        </w:tc>
        <w:tc>
          <w:tcPr>
            <w:tcW w:w="3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gridSpan w:val="3"/>
          </w:tcPr>
          <w:p>
            <w:pPr>
              <w:ind w:left="40"/>
              <w:spacing w:after="0"/>
              <w:rPr>
                <w:sz w:val="20"/>
                <w:szCs w:val="20"/>
                <w:color w:val="auto"/>
              </w:rPr>
            </w:pPr>
            <w:r>
              <w:rPr>
                <w:rFonts w:ascii="Arial" w:cs="Arial" w:eastAsia="Arial" w:hAnsi="Arial"/>
                <w:sz w:val="14"/>
                <w:szCs w:val="14"/>
                <w:b w:val="1"/>
                <w:bCs w:val="1"/>
                <w:color w:val="auto"/>
                <w:w w:val="91"/>
              </w:rPr>
              <w:t>September 30,</w:t>
            </w:r>
          </w:p>
        </w:tc>
        <w:tc>
          <w:tcPr>
            <w:tcW w:w="780" w:type="dxa"/>
            <w:vAlign w:val="bottom"/>
            <w:tcBorders>
              <w:bottom w:val="single" w:sz="8" w:color="auto"/>
            </w:tcBorders>
          </w:tcPr>
          <w:p>
            <w:pPr>
              <w:spacing w:after="0"/>
              <w:rPr>
                <w:sz w:val="16"/>
                <w:szCs w:val="16"/>
                <w:color w:val="auto"/>
              </w:rPr>
            </w:pPr>
          </w:p>
        </w:tc>
      </w:tr>
      <w:tr>
        <w:trPr>
          <w:trHeight w:val="183"/>
        </w:trPr>
        <w:tc>
          <w:tcPr>
            <w:tcW w:w="6160" w:type="dxa"/>
            <w:vAlign w:val="bottom"/>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38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w w:val="96"/>
              </w:rPr>
              <w:t>2020</w:t>
            </w:r>
          </w:p>
        </w:tc>
      </w:tr>
      <w:tr>
        <w:trPr>
          <w:trHeight w:val="212"/>
        </w:trPr>
        <w:tc>
          <w:tcPr>
            <w:tcW w:w="6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60" w:type="dxa"/>
            <w:vAlign w:val="bottom"/>
            <w:gridSpan w:val="3"/>
          </w:tcPr>
          <w:p>
            <w:pPr>
              <w:jc w:val="right"/>
              <w:ind w:right="364"/>
              <w:spacing w:after="0"/>
              <w:rPr>
                <w:sz w:val="20"/>
                <w:szCs w:val="20"/>
                <w:color w:val="auto"/>
              </w:rPr>
            </w:pPr>
            <w:r>
              <w:rPr>
                <w:rFonts w:ascii="Arial" w:cs="Arial" w:eastAsia="Arial" w:hAnsi="Arial"/>
                <w:sz w:val="14"/>
                <w:szCs w:val="14"/>
                <w:b w:val="1"/>
                <w:bCs w:val="1"/>
                <w:color w:val="auto"/>
              </w:rPr>
              <w:t>(In millions)</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22"/>
        </w:trPr>
        <w:tc>
          <w:tcPr>
            <w:tcW w:w="6160" w:type="dxa"/>
            <w:vAlign w:val="bottom"/>
          </w:tcPr>
          <w:p>
            <w:pPr>
              <w:spacing w:after="0"/>
              <w:rPr>
                <w:sz w:val="20"/>
                <w:szCs w:val="20"/>
                <w:color w:val="auto"/>
              </w:rPr>
            </w:pPr>
            <w:r>
              <w:rPr>
                <w:rFonts w:ascii="Arial" w:cs="Arial" w:eastAsia="Arial" w:hAnsi="Arial"/>
                <w:sz w:val="16"/>
                <w:szCs w:val="16"/>
                <w:b w:val="1"/>
                <w:bCs w:val="1"/>
                <w:color w:val="auto"/>
              </w:rPr>
              <w:t>Items Affecting Comparability of Earnings Between Periods, After-Tax:</w:t>
            </w:r>
          </w:p>
        </w:tc>
        <w:tc>
          <w:tcPr>
            <w:tcW w:w="7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80" w:type="dxa"/>
            <w:vAlign w:val="bottom"/>
          </w:tcPr>
          <w:p>
            <w:pPr>
              <w:spacing w:after="0"/>
              <w:rPr>
                <w:sz w:val="19"/>
                <w:szCs w:val="19"/>
                <w:color w:val="auto"/>
              </w:rPr>
            </w:pPr>
          </w:p>
        </w:tc>
      </w:tr>
      <w:tr>
        <w:trPr>
          <w:trHeight w:val="216"/>
        </w:trPr>
        <w:tc>
          <w:tcPr>
            <w:tcW w:w="6160" w:type="dxa"/>
            <w:vAlign w:val="bottom"/>
          </w:tcPr>
          <w:p>
            <w:pPr>
              <w:ind w:left="120"/>
              <w:spacing w:after="0"/>
              <w:rPr>
                <w:sz w:val="20"/>
                <w:szCs w:val="20"/>
                <w:color w:val="auto"/>
              </w:rPr>
            </w:pPr>
            <w:r>
              <w:rPr>
                <w:rFonts w:ascii="Arial" w:cs="Arial" w:eastAsia="Arial" w:hAnsi="Arial"/>
                <w:sz w:val="16"/>
                <w:szCs w:val="16"/>
                <w:color w:val="auto"/>
              </w:rPr>
              <w:t>Exploration and Production</w:t>
            </w:r>
          </w:p>
        </w:tc>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ind w:right="1"/>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8"/>
                <w:szCs w:val="18"/>
                <w:color w:val="auto"/>
              </w:rPr>
            </w:pPr>
          </w:p>
        </w:tc>
        <w:tc>
          <w:tcPr>
            <w:tcW w:w="800" w:type="dxa"/>
            <w:vAlign w:val="bottom"/>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Pr>
          <w:p>
            <w:pPr>
              <w:jc w:val="right"/>
              <w:spacing w:after="0"/>
              <w:rPr>
                <w:sz w:val="20"/>
                <w:szCs w:val="20"/>
                <w:color w:val="auto"/>
              </w:rPr>
            </w:pPr>
            <w:r>
              <w:rPr>
                <w:rFonts w:ascii="Arial" w:cs="Arial" w:eastAsia="Arial" w:hAnsi="Arial"/>
                <w:sz w:val="16"/>
                <w:szCs w:val="16"/>
                <w:color w:val="auto"/>
              </w:rPr>
              <w:t>(26)</w:t>
            </w:r>
          </w:p>
        </w:tc>
        <w:tc>
          <w:tcPr>
            <w:tcW w:w="120" w:type="dxa"/>
            <w:vAlign w:val="bottom"/>
          </w:tcPr>
          <w:p>
            <w:pPr>
              <w:spacing w:after="0"/>
              <w:rPr>
                <w:sz w:val="18"/>
                <w:szCs w:val="18"/>
                <w:color w:val="auto"/>
              </w:rPr>
            </w:pPr>
          </w:p>
        </w:tc>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Pr>
          <w:p>
            <w:pPr>
              <w:ind w:left="60"/>
              <w:spacing w:after="0"/>
              <w:rPr>
                <w:sz w:val="20"/>
                <w:szCs w:val="20"/>
                <w:color w:val="auto"/>
              </w:rPr>
            </w:pPr>
            <w:r>
              <w:rPr>
                <w:rFonts w:ascii="Arial" w:cs="Arial" w:eastAsia="Arial" w:hAnsi="Arial"/>
                <w:sz w:val="16"/>
                <w:szCs w:val="16"/>
                <w:color w:val="auto"/>
                <w:w w:val="90"/>
              </w:rPr>
              <w:t>(118)</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(2,277)</w:t>
            </w:r>
          </w:p>
        </w:tc>
      </w:tr>
      <w:tr>
        <w:trPr>
          <w:trHeight w:val="216"/>
        </w:trPr>
        <w:tc>
          <w:tcPr>
            <w:tcW w:w="6160" w:type="dxa"/>
            <w:vAlign w:val="bottom"/>
          </w:tcPr>
          <w:p>
            <w:pPr>
              <w:ind w:left="120"/>
              <w:spacing w:after="0"/>
              <w:rPr>
                <w:sz w:val="20"/>
                <w:szCs w:val="20"/>
                <w:color w:val="auto"/>
              </w:rPr>
            </w:pPr>
            <w:r>
              <w:rPr>
                <w:rFonts w:ascii="Arial" w:cs="Arial" w:eastAsia="Arial" w:hAnsi="Arial"/>
                <w:sz w:val="16"/>
                <w:szCs w:val="16"/>
                <w:color w:val="auto"/>
              </w:rPr>
              <w:t>Midstream</w:t>
            </w:r>
          </w:p>
        </w:tc>
        <w:tc>
          <w:tcPr>
            <w:tcW w:w="7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0" w:type="dxa"/>
            <w:vAlign w:val="bottom"/>
          </w:tcPr>
          <w:p>
            <w:pPr>
              <w:spacing w:after="0"/>
              <w:rPr>
                <w:sz w:val="18"/>
                <w:szCs w:val="18"/>
                <w:color w:val="auto"/>
              </w:rPr>
            </w:pPr>
          </w:p>
        </w:tc>
        <w:tc>
          <w:tcPr>
            <w:tcW w:w="500" w:type="dxa"/>
            <w:vAlign w:val="bottom"/>
            <w:gridSpan w:val="2"/>
          </w:tcPr>
          <w:p>
            <w:pPr>
              <w:ind w:left="160"/>
              <w:spacing w:after="0"/>
              <w:rPr>
                <w:sz w:val="20"/>
                <w:szCs w:val="20"/>
                <w:color w:val="auto"/>
              </w:rPr>
            </w:pPr>
            <w:r>
              <w:rPr>
                <w:rFonts w:ascii="Arial" w:cs="Arial" w:eastAsia="Arial" w:hAnsi="Arial"/>
                <w:sz w:val="16"/>
                <w:szCs w:val="16"/>
                <w:color w:val="auto"/>
              </w:rPr>
              <w:t>—</w:t>
            </w:r>
          </w:p>
        </w:tc>
        <w:tc>
          <w:tcPr>
            <w:tcW w:w="760" w:type="dxa"/>
            <w:vAlign w:val="bottom"/>
          </w:tcPr>
          <w:p>
            <w:pPr>
              <w:spacing w:after="0"/>
              <w:rPr>
                <w:sz w:val="18"/>
                <w:szCs w:val="18"/>
                <w:color w:val="auto"/>
              </w:rPr>
            </w:pPr>
          </w:p>
        </w:tc>
        <w:tc>
          <w:tcPr>
            <w:tcW w:w="540" w:type="dxa"/>
            <w:vAlign w:val="bottom"/>
            <w:gridSpan w:val="2"/>
          </w:tcPr>
          <w:p>
            <w:pPr>
              <w:ind w:left="20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9"/>
        </w:trPr>
        <w:tc>
          <w:tcPr>
            <w:tcW w:w="6160" w:type="dxa"/>
            <w:vAlign w:val="bottom"/>
          </w:tcPr>
          <w:p>
            <w:pPr>
              <w:ind w:left="120"/>
              <w:spacing w:after="0"/>
              <w:rPr>
                <w:sz w:val="20"/>
                <w:szCs w:val="20"/>
                <w:color w:val="auto"/>
              </w:rPr>
            </w:pPr>
            <w:r>
              <w:rPr>
                <w:rFonts w:ascii="Arial" w:cs="Arial" w:eastAsia="Arial" w:hAnsi="Arial"/>
                <w:sz w:val="16"/>
                <w:szCs w:val="16"/>
                <w:color w:val="auto"/>
              </w:rPr>
              <w:t>Corporate, Interest and Other</w:t>
            </w:r>
          </w:p>
        </w:tc>
        <w:tc>
          <w:tcPr>
            <w:tcW w:w="760" w:type="dxa"/>
            <w:vAlign w:val="bottom"/>
          </w:tcPr>
          <w:p>
            <w:pPr>
              <w:spacing w:after="0"/>
              <w:rPr>
                <w:sz w:val="19"/>
                <w:szCs w:val="19"/>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0" w:type="dxa"/>
            <w:vAlign w:val="bottom"/>
          </w:tcPr>
          <w:p>
            <w:pPr>
              <w:spacing w:after="0"/>
              <w:rPr>
                <w:sz w:val="19"/>
                <w:szCs w:val="19"/>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40" w:type="dxa"/>
            <w:vAlign w:val="bottom"/>
            <w:gridSpan w:val="2"/>
          </w:tcPr>
          <w:p>
            <w:pPr>
              <w:ind w:left="20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w:t>
            </w:r>
          </w:p>
        </w:tc>
      </w:tr>
      <w:tr>
        <w:trPr>
          <w:trHeight w:val="213"/>
        </w:trPr>
        <w:tc>
          <w:tcPr>
            <w:tcW w:w="6160" w:type="dxa"/>
            <w:vAlign w:val="bottom"/>
          </w:tcPr>
          <w:p>
            <w:pPr>
              <w:ind w:left="340"/>
              <w:spacing w:after="0"/>
              <w:rPr>
                <w:sz w:val="20"/>
                <w:szCs w:val="20"/>
                <w:color w:val="auto"/>
              </w:rPr>
            </w:pPr>
            <w:r>
              <w:rPr>
                <w:rFonts w:ascii="Arial" w:cs="Arial" w:eastAsia="Arial" w:hAnsi="Arial"/>
                <w:sz w:val="16"/>
                <w:szCs w:val="16"/>
                <w:b w:val="1"/>
                <w:bCs w:val="1"/>
                <w:color w:val="auto"/>
              </w:rPr>
              <w:t>Total</w:t>
            </w:r>
          </w:p>
        </w:tc>
        <w:tc>
          <w:tcPr>
            <w:tcW w:w="760" w:type="dxa"/>
            <w:vAlign w:val="bottom"/>
            <w:tcBorders>
              <w:top w:val="single" w:sz="8" w:color="auto"/>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top w:val="single" w:sz="8" w:color="auto"/>
              <w:bottom w:val="single" w:sz="8" w:color="auto"/>
            </w:tcBorders>
          </w:tcPr>
          <w:p>
            <w:pPr>
              <w:jc w:val="right"/>
              <w:ind w:right="1"/>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8"/>
                <w:szCs w:val="18"/>
                <w:color w:val="auto"/>
              </w:rPr>
            </w:pPr>
          </w:p>
        </w:tc>
        <w:tc>
          <w:tcPr>
            <w:tcW w:w="800" w:type="dxa"/>
            <w:vAlign w:val="bottom"/>
            <w:tcBorders>
              <w:top w:val="single" w:sz="8" w:color="auto"/>
              <w:bottom w:val="single" w:sz="8" w:color="auto"/>
            </w:tcBorders>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(27)</w:t>
            </w:r>
          </w:p>
        </w:tc>
        <w:tc>
          <w:tcPr>
            <w:tcW w:w="120" w:type="dxa"/>
            <w:vAlign w:val="bottom"/>
          </w:tcPr>
          <w:p>
            <w:pPr>
              <w:spacing w:after="0"/>
              <w:rPr>
                <w:sz w:val="18"/>
                <w:szCs w:val="18"/>
                <w:color w:val="auto"/>
              </w:rPr>
            </w:pPr>
          </w:p>
        </w:tc>
        <w:tc>
          <w:tcPr>
            <w:tcW w:w="760" w:type="dxa"/>
            <w:vAlign w:val="bottom"/>
            <w:tcBorders>
              <w:top w:val="single" w:sz="8" w:color="auto"/>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6"/>
                <w:szCs w:val="16"/>
                <w:color w:val="auto"/>
                <w:w w:val="90"/>
              </w:rPr>
              <w:t>(118)</w:t>
            </w:r>
          </w:p>
        </w:tc>
        <w:tc>
          <w:tcPr>
            <w:tcW w:w="120" w:type="dxa"/>
            <w:vAlign w:val="bottom"/>
          </w:tcPr>
          <w:p>
            <w:pPr>
              <w:spacing w:after="0"/>
              <w:rPr>
                <w:sz w:val="18"/>
                <w:szCs w:val="18"/>
                <w:color w:val="auto"/>
              </w:rPr>
            </w:pPr>
          </w:p>
        </w:tc>
        <w:tc>
          <w:tcPr>
            <w:tcW w:w="400" w:type="dxa"/>
            <w:vAlign w:val="bottom"/>
            <w:tcBorders>
              <w:top w:val="single" w:sz="8" w:color="auto"/>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(2,278)</w:t>
            </w:r>
          </w:p>
        </w:tc>
      </w:tr>
      <w:tr>
        <w:trPr>
          <w:trHeight w:val="21"/>
        </w:trPr>
        <w:tc>
          <w:tcPr>
            <w:tcW w:w="6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items in the table above are explained on pages 25 to 28.</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0" w:name="page21"/>
    <w:bookmarkEnd w:id="20"/>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Consolidated Results of Operations (continued)</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Reconciliations of GAAP and non-GAAP measures</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reconciles reported net income (loss) attributable to Hess Corporation and adjusted net income (loss) attributable to Hess Corporation:</w:t>
      </w:r>
    </w:p>
    <w:p>
      <w:pPr>
        <w:spacing w:after="0" w:line="128"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160" w:type="dxa"/>
            <w:vAlign w:val="bottom"/>
          </w:tcPr>
          <w:p>
            <w:pPr>
              <w:spacing w:after="0"/>
              <w:rPr>
                <w:sz w:val="14"/>
                <w:szCs w:val="14"/>
                <w:color w:val="auto"/>
              </w:rPr>
            </w:pPr>
          </w:p>
        </w:tc>
        <w:tc>
          <w:tcPr>
            <w:tcW w:w="2060" w:type="dxa"/>
            <w:vAlign w:val="bottom"/>
            <w:gridSpan w:val="4"/>
          </w:tcPr>
          <w:p>
            <w:pPr>
              <w:jc w:val="right"/>
              <w:ind w:right="102"/>
              <w:spacing w:after="0"/>
              <w:rPr>
                <w:sz w:val="20"/>
                <w:szCs w:val="20"/>
                <w:color w:val="auto"/>
              </w:rPr>
            </w:pPr>
            <w:r>
              <w:rPr>
                <w:rFonts w:ascii="Arial" w:cs="Arial" w:eastAsia="Arial" w:hAnsi="Arial"/>
                <w:sz w:val="14"/>
                <w:szCs w:val="14"/>
                <w:b w:val="1"/>
                <w:bCs w:val="1"/>
                <w:color w:val="auto"/>
              </w:rPr>
              <w:t>Three Months Ended</w:t>
            </w:r>
          </w:p>
        </w:tc>
        <w:tc>
          <w:tcPr>
            <w:tcW w:w="4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100" w:type="dxa"/>
            <w:vAlign w:val="bottom"/>
            <w:gridSpan w:val="4"/>
          </w:tcPr>
          <w:p>
            <w:pPr>
              <w:jc w:val="right"/>
              <w:ind w:right="541"/>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616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3"/>
          </w:tcPr>
          <w:p>
            <w:pPr>
              <w:jc w:val="right"/>
              <w:ind w:right="302"/>
              <w:spacing w:after="0"/>
              <w:rPr>
                <w:sz w:val="20"/>
                <w:szCs w:val="20"/>
                <w:color w:val="auto"/>
              </w:rPr>
            </w:pPr>
            <w:r>
              <w:rPr>
                <w:rFonts w:ascii="Arial" w:cs="Arial" w:eastAsia="Arial" w:hAnsi="Arial"/>
                <w:sz w:val="14"/>
                <w:szCs w:val="14"/>
                <w:b w:val="1"/>
                <w:bCs w:val="1"/>
                <w:color w:val="auto"/>
                <w:w w:val="93"/>
              </w:rPr>
              <w:t>September 30,</w:t>
            </w:r>
          </w:p>
        </w:tc>
        <w:tc>
          <w:tcPr>
            <w:tcW w:w="4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r>
      <w:tr>
        <w:trPr>
          <w:trHeight w:val="191"/>
        </w:trPr>
        <w:tc>
          <w:tcPr>
            <w:tcW w:w="6160" w:type="dxa"/>
            <w:vAlign w:val="bottom"/>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364"/>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w w:val="96"/>
              </w:rPr>
              <w:t>2020</w:t>
            </w:r>
          </w:p>
        </w:tc>
      </w:tr>
      <w:tr>
        <w:trPr>
          <w:trHeight w:val="244"/>
        </w:trPr>
        <w:tc>
          <w:tcPr>
            <w:tcW w:w="61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90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millions)</w:t>
            </w:r>
          </w:p>
        </w:tc>
        <w:tc>
          <w:tcPr>
            <w:tcW w:w="8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780" w:type="dxa"/>
            <w:vAlign w:val="bottom"/>
          </w:tcPr>
          <w:p>
            <w:pPr>
              <w:spacing w:after="0"/>
              <w:rPr>
                <w:sz w:val="21"/>
                <w:szCs w:val="21"/>
                <w:color w:val="auto"/>
              </w:rPr>
            </w:pPr>
          </w:p>
        </w:tc>
      </w:tr>
      <w:tr>
        <w:trPr>
          <w:trHeight w:val="222"/>
        </w:trPr>
        <w:tc>
          <w:tcPr>
            <w:tcW w:w="6160" w:type="dxa"/>
            <w:vAlign w:val="bottom"/>
          </w:tcPr>
          <w:p>
            <w:pPr>
              <w:spacing w:after="0"/>
              <w:rPr>
                <w:sz w:val="20"/>
                <w:szCs w:val="20"/>
                <w:color w:val="auto"/>
              </w:rPr>
            </w:pPr>
            <w:r>
              <w:rPr>
                <w:rFonts w:ascii="Arial" w:cs="Arial" w:eastAsia="Arial" w:hAnsi="Arial"/>
                <w:sz w:val="16"/>
                <w:szCs w:val="16"/>
                <w:b w:val="1"/>
                <w:bCs w:val="1"/>
                <w:color w:val="auto"/>
              </w:rPr>
              <w:t>Adjusted Net Income (Loss) Attributable to Hess Corporation:</w:t>
            </w:r>
          </w:p>
        </w:tc>
        <w:tc>
          <w:tcPr>
            <w:tcW w:w="7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80" w:type="dxa"/>
            <w:vAlign w:val="bottom"/>
          </w:tcPr>
          <w:p>
            <w:pPr>
              <w:spacing w:after="0"/>
              <w:rPr>
                <w:sz w:val="19"/>
                <w:szCs w:val="19"/>
                <w:color w:val="auto"/>
              </w:rPr>
            </w:pPr>
          </w:p>
        </w:tc>
      </w:tr>
      <w:tr>
        <w:trPr>
          <w:trHeight w:val="216"/>
        </w:trPr>
        <w:tc>
          <w:tcPr>
            <w:tcW w:w="6160" w:type="dxa"/>
            <w:vAlign w:val="bottom"/>
          </w:tcPr>
          <w:p>
            <w:pPr>
              <w:ind w:left="120"/>
              <w:spacing w:after="0"/>
              <w:rPr>
                <w:sz w:val="20"/>
                <w:szCs w:val="20"/>
                <w:color w:val="auto"/>
              </w:rPr>
            </w:pPr>
            <w:r>
              <w:rPr>
                <w:rFonts w:ascii="Arial" w:cs="Arial" w:eastAsia="Arial" w:hAnsi="Arial"/>
                <w:sz w:val="16"/>
                <w:szCs w:val="16"/>
                <w:color w:val="auto"/>
              </w:rPr>
              <w:t>Net income (loss) attributable to Hess Corporation</w:t>
            </w:r>
          </w:p>
        </w:tc>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ind w:right="1"/>
              <w:spacing w:after="0"/>
              <w:rPr>
                <w:sz w:val="20"/>
                <w:szCs w:val="20"/>
                <w:color w:val="auto"/>
              </w:rPr>
            </w:pPr>
            <w:r>
              <w:rPr>
                <w:rFonts w:ascii="Arial" w:cs="Arial" w:eastAsia="Arial" w:hAnsi="Arial"/>
                <w:sz w:val="16"/>
                <w:szCs w:val="16"/>
                <w:color w:val="auto"/>
              </w:rPr>
              <w:t>115</w:t>
            </w:r>
          </w:p>
        </w:tc>
        <w:tc>
          <w:tcPr>
            <w:tcW w:w="100" w:type="dxa"/>
            <w:vAlign w:val="bottom"/>
          </w:tcPr>
          <w:p>
            <w:pPr>
              <w:spacing w:after="0"/>
              <w:rPr>
                <w:sz w:val="18"/>
                <w:szCs w:val="18"/>
                <w:color w:val="auto"/>
              </w:rPr>
            </w:pPr>
          </w:p>
        </w:tc>
        <w:tc>
          <w:tcPr>
            <w:tcW w:w="780" w:type="dxa"/>
            <w:vAlign w:val="bottom"/>
          </w:tcPr>
          <w:p>
            <w:pPr>
              <w:jc w:val="right"/>
              <w:ind w:right="602"/>
              <w:spacing w:after="0"/>
              <w:rPr>
                <w:sz w:val="20"/>
                <w:szCs w:val="20"/>
                <w:color w:val="auto"/>
              </w:rPr>
            </w:pPr>
            <w:r>
              <w:rPr>
                <w:rFonts w:ascii="Arial" w:cs="Arial" w:eastAsia="Arial" w:hAnsi="Arial"/>
                <w:sz w:val="16"/>
                <w:szCs w:val="16"/>
                <w:color w:val="auto"/>
                <w:w w:val="89"/>
              </w:rPr>
              <w:t>$</w:t>
            </w:r>
          </w:p>
        </w:tc>
        <w:tc>
          <w:tcPr>
            <w:tcW w:w="400" w:type="dxa"/>
            <w:vAlign w:val="bottom"/>
          </w:tcPr>
          <w:p>
            <w:pPr>
              <w:jc w:val="right"/>
              <w:spacing w:after="0"/>
              <w:rPr>
                <w:sz w:val="20"/>
                <w:szCs w:val="20"/>
                <w:color w:val="auto"/>
              </w:rPr>
            </w:pPr>
            <w:r>
              <w:rPr>
                <w:rFonts w:ascii="Arial" w:cs="Arial" w:eastAsia="Arial" w:hAnsi="Arial"/>
                <w:sz w:val="16"/>
                <w:szCs w:val="16"/>
                <w:color w:val="auto"/>
                <w:w w:val="96"/>
              </w:rPr>
              <w:t>(243)</w:t>
            </w:r>
          </w:p>
        </w:tc>
        <w:tc>
          <w:tcPr>
            <w:tcW w:w="120" w:type="dxa"/>
            <w:vAlign w:val="bottom"/>
          </w:tcPr>
          <w:p>
            <w:pPr>
              <w:spacing w:after="0"/>
              <w:rPr>
                <w:sz w:val="18"/>
                <w:szCs w:val="18"/>
                <w:color w:val="auto"/>
              </w:rPr>
            </w:pPr>
          </w:p>
        </w:tc>
        <w:tc>
          <w:tcPr>
            <w:tcW w:w="380" w:type="dxa"/>
            <w:vAlign w:val="bottom"/>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Pr>
          <w:p>
            <w:pPr>
              <w:jc w:val="center"/>
              <w:ind w:left="364"/>
              <w:spacing w:after="0"/>
              <w:rPr>
                <w:sz w:val="20"/>
                <w:szCs w:val="20"/>
                <w:color w:val="auto"/>
              </w:rPr>
            </w:pPr>
            <w:r>
              <w:rPr>
                <w:rFonts w:ascii="Arial" w:cs="Arial" w:eastAsia="Arial" w:hAnsi="Arial"/>
                <w:sz w:val="16"/>
                <w:szCs w:val="16"/>
                <w:color w:val="auto"/>
                <w:w w:val="89"/>
              </w:rPr>
              <w:t>294</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(2,996)</w:t>
            </w:r>
          </w:p>
        </w:tc>
      </w:tr>
      <w:tr>
        <w:trPr>
          <w:trHeight w:val="219"/>
        </w:trPr>
        <w:tc>
          <w:tcPr>
            <w:tcW w:w="6160" w:type="dxa"/>
            <w:vAlign w:val="bottom"/>
          </w:tcPr>
          <w:p>
            <w:pPr>
              <w:ind w:left="120"/>
              <w:spacing w:after="0"/>
              <w:rPr>
                <w:sz w:val="20"/>
                <w:szCs w:val="20"/>
                <w:color w:val="auto"/>
              </w:rPr>
            </w:pPr>
            <w:r>
              <w:rPr>
                <w:rFonts w:ascii="Arial" w:cs="Arial" w:eastAsia="Arial" w:hAnsi="Arial"/>
                <w:sz w:val="16"/>
                <w:szCs w:val="16"/>
                <w:color w:val="auto"/>
              </w:rPr>
              <w:t>Less: Total items affecting comparability of earnings between periods, after-tax</w:t>
            </w:r>
          </w:p>
        </w:tc>
        <w:tc>
          <w:tcPr>
            <w:tcW w:w="76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9"/>
                <w:szCs w:val="19"/>
                <w:color w:val="auto"/>
              </w:rPr>
            </w:pPr>
          </w:p>
        </w:tc>
        <w:tc>
          <w:tcPr>
            <w:tcW w:w="78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w:t>
            </w:r>
          </w:p>
        </w:tc>
        <w:tc>
          <w:tcPr>
            <w:tcW w:w="12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center"/>
              <w:ind w:left="344"/>
              <w:spacing w:after="0"/>
              <w:rPr>
                <w:sz w:val="20"/>
                <w:szCs w:val="20"/>
                <w:color w:val="auto"/>
              </w:rPr>
            </w:pPr>
            <w:r>
              <w:rPr>
                <w:rFonts w:ascii="Arial" w:cs="Arial" w:eastAsia="Arial" w:hAnsi="Arial"/>
                <w:sz w:val="16"/>
                <w:szCs w:val="16"/>
                <w:color w:val="auto"/>
                <w:w w:val="90"/>
              </w:rPr>
              <w:t>(118)</w:t>
            </w:r>
          </w:p>
        </w:tc>
        <w:tc>
          <w:tcPr>
            <w:tcW w:w="1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(2,278)</w:t>
            </w:r>
          </w:p>
        </w:tc>
      </w:tr>
      <w:tr>
        <w:trPr>
          <w:trHeight w:val="213"/>
        </w:trPr>
        <w:tc>
          <w:tcPr>
            <w:tcW w:w="6160" w:type="dxa"/>
            <w:vAlign w:val="bottom"/>
          </w:tcPr>
          <w:p>
            <w:pPr>
              <w:ind w:left="340"/>
              <w:spacing w:after="0"/>
              <w:rPr>
                <w:sz w:val="20"/>
                <w:szCs w:val="20"/>
                <w:color w:val="auto"/>
              </w:rPr>
            </w:pPr>
            <w:r>
              <w:rPr>
                <w:rFonts w:ascii="Arial" w:cs="Arial" w:eastAsia="Arial" w:hAnsi="Arial"/>
                <w:sz w:val="16"/>
                <w:szCs w:val="16"/>
                <w:b w:val="1"/>
                <w:bCs w:val="1"/>
                <w:color w:val="auto"/>
              </w:rPr>
              <w:t>Adjusted Net Income (Loss) Attributable to Hess Corporation</w:t>
            </w:r>
          </w:p>
        </w:tc>
        <w:tc>
          <w:tcPr>
            <w:tcW w:w="760" w:type="dxa"/>
            <w:vAlign w:val="bottom"/>
            <w:tcBorders>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86</w:t>
            </w:r>
          </w:p>
        </w:tc>
        <w:tc>
          <w:tcPr>
            <w:tcW w:w="100" w:type="dxa"/>
            <w:vAlign w:val="bottom"/>
          </w:tcPr>
          <w:p>
            <w:pPr>
              <w:spacing w:after="0"/>
              <w:rPr>
                <w:sz w:val="18"/>
                <w:szCs w:val="18"/>
                <w:color w:val="auto"/>
              </w:rPr>
            </w:pPr>
          </w:p>
        </w:tc>
        <w:tc>
          <w:tcPr>
            <w:tcW w:w="780" w:type="dxa"/>
            <w:vAlign w:val="bottom"/>
            <w:tcBorders>
              <w:bottom w:val="single" w:sz="8" w:color="auto"/>
            </w:tcBorders>
          </w:tcPr>
          <w:p>
            <w:pPr>
              <w:jc w:val="right"/>
              <w:ind w:right="602"/>
              <w:spacing w:after="0"/>
              <w:rPr>
                <w:sz w:val="20"/>
                <w:szCs w:val="20"/>
                <w:color w:val="auto"/>
              </w:rPr>
            </w:pPr>
            <w:r>
              <w:rPr>
                <w:rFonts w:ascii="Arial" w:cs="Arial" w:eastAsia="Arial" w:hAnsi="Arial"/>
                <w:sz w:val="16"/>
                <w:szCs w:val="16"/>
                <w:color w:val="auto"/>
                <w:w w:val="89"/>
              </w:rPr>
              <w:t>$</w:t>
            </w: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6"/>
              </w:rPr>
              <w:t>(216)</w:t>
            </w:r>
          </w:p>
        </w:tc>
        <w:tc>
          <w:tcPr>
            <w:tcW w:w="120" w:type="dxa"/>
            <w:vAlign w:val="bottom"/>
          </w:tcPr>
          <w:p>
            <w:pPr>
              <w:spacing w:after="0"/>
              <w:rPr>
                <w:sz w:val="18"/>
                <w:szCs w:val="18"/>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tcPr>
          <w:p>
            <w:pPr>
              <w:jc w:val="center"/>
              <w:ind w:left="364"/>
              <w:spacing w:after="0"/>
              <w:rPr>
                <w:sz w:val="20"/>
                <w:szCs w:val="20"/>
                <w:color w:val="auto"/>
              </w:rPr>
            </w:pPr>
            <w:r>
              <w:rPr>
                <w:rFonts w:ascii="Arial" w:cs="Arial" w:eastAsia="Arial" w:hAnsi="Arial"/>
                <w:sz w:val="16"/>
                <w:szCs w:val="16"/>
                <w:color w:val="auto"/>
                <w:w w:val="89"/>
              </w:rPr>
              <w:t>412</w:t>
            </w:r>
          </w:p>
        </w:tc>
        <w:tc>
          <w:tcPr>
            <w:tcW w:w="120" w:type="dxa"/>
            <w:vAlign w:val="bottom"/>
          </w:tcPr>
          <w:p>
            <w:pPr>
              <w:spacing w:after="0"/>
              <w:rPr>
                <w:sz w:val="18"/>
                <w:szCs w:val="18"/>
                <w:color w:val="auto"/>
              </w:rPr>
            </w:pPr>
          </w:p>
        </w:tc>
        <w:tc>
          <w:tcPr>
            <w:tcW w:w="4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(718)</w:t>
            </w:r>
          </w:p>
        </w:tc>
      </w:tr>
      <w:tr>
        <w:trPr>
          <w:trHeight w:val="20"/>
        </w:trPr>
        <w:tc>
          <w:tcPr>
            <w:tcW w:w="6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296"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reconciles reported net cash provided by (used in) operating activities and net cash provided by (used in) operating activities before changes in operating assets and liabilities:</w:t>
      </w:r>
    </w:p>
    <w:p>
      <w:pPr>
        <w:spacing w:after="0" w:line="71" w:lineRule="exact"/>
        <w:rPr>
          <w:sz w:val="20"/>
          <w:szCs w:val="20"/>
          <w:color w:val="auto"/>
        </w:rPr>
      </w:pPr>
    </w:p>
    <w:p>
      <w:pPr>
        <w:jc w:val="center"/>
        <w:ind w:left="8700"/>
        <w:spacing w:after="0"/>
        <w:rPr>
          <w:sz w:val="20"/>
          <w:szCs w:val="20"/>
          <w:color w:val="auto"/>
        </w:rPr>
      </w:pPr>
      <w:r>
        <w:rPr>
          <w:rFonts w:ascii="Arial" w:cs="Arial" w:eastAsia="Arial" w:hAnsi="Arial"/>
          <w:sz w:val="14"/>
          <w:szCs w:val="14"/>
          <w:b w:val="1"/>
          <w:bCs w:val="1"/>
          <w:color w:val="auto"/>
        </w:rPr>
        <w:t>Nine Months Ended</w:t>
      </w:r>
    </w:p>
    <w:p>
      <w:pPr>
        <w:jc w:val="center"/>
        <w:ind w:left="8700"/>
        <w:spacing w:after="0"/>
        <w:rPr>
          <w:sz w:val="20"/>
          <w:szCs w:val="20"/>
          <w:color w:val="auto"/>
        </w:rPr>
      </w:pPr>
      <w:r>
        <w:rPr>
          <w:rFonts w:ascii="Arial" w:cs="Arial" w:eastAsia="Arial" w:hAnsi="Arial"/>
          <w:sz w:val="14"/>
          <w:szCs w:val="14"/>
          <w:b w:val="1"/>
          <w:bCs w:val="1"/>
          <w:color w:val="auto"/>
        </w:rPr>
        <w:t>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5542915</wp:posOffset>
            </wp:positionH>
            <wp:positionV relativeFrom="paragraph">
              <wp:posOffset>13335</wp:posOffset>
            </wp:positionV>
            <wp:extent cx="1594485"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594485" cy="8255"/>
                    </a:xfrm>
                    <a:prstGeom prst="rect">
                      <a:avLst/>
                    </a:prstGeom>
                    <a:noFill/>
                  </pic:spPr>
                </pic:pic>
              </a:graphicData>
            </a:graphic>
          </wp:anchor>
        </w:drawing>
      </w:r>
    </w:p>
    <w:p>
      <w:pPr>
        <w:spacing w:after="0" w:line="33"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8700" w:type="dxa"/>
            <w:vAlign w:val="bottom"/>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2020</w:t>
            </w:r>
          </w:p>
        </w:tc>
      </w:tr>
      <w:tr>
        <w:trPr>
          <w:trHeight w:val="258"/>
        </w:trPr>
        <w:tc>
          <w:tcPr>
            <w:tcW w:w="87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4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millions)</w:t>
            </w:r>
          </w:p>
        </w:tc>
        <w:tc>
          <w:tcPr>
            <w:tcW w:w="820" w:type="dxa"/>
            <w:vAlign w:val="bottom"/>
          </w:tcPr>
          <w:p>
            <w:pPr>
              <w:spacing w:after="0"/>
              <w:rPr>
                <w:sz w:val="22"/>
                <w:szCs w:val="22"/>
                <w:color w:val="auto"/>
              </w:rPr>
            </w:pPr>
          </w:p>
        </w:tc>
      </w:tr>
      <w:tr>
        <w:trPr>
          <w:trHeight w:val="222"/>
        </w:trPr>
        <w:tc>
          <w:tcPr>
            <w:tcW w:w="8700" w:type="dxa"/>
            <w:vAlign w:val="bottom"/>
          </w:tcPr>
          <w:p>
            <w:pPr>
              <w:spacing w:after="0"/>
              <w:rPr>
                <w:sz w:val="20"/>
                <w:szCs w:val="20"/>
                <w:color w:val="auto"/>
              </w:rPr>
            </w:pPr>
            <w:r>
              <w:rPr>
                <w:rFonts w:ascii="Arial" w:cs="Arial" w:eastAsia="Arial" w:hAnsi="Arial"/>
                <w:sz w:val="16"/>
                <w:szCs w:val="16"/>
                <w:b w:val="1"/>
                <w:bCs w:val="1"/>
                <w:color w:val="auto"/>
              </w:rPr>
              <w:t>Net cash provided by operating activities before changes in operating assets and liabilities:</w:t>
            </w:r>
          </w:p>
        </w:tc>
        <w:tc>
          <w:tcPr>
            <w:tcW w:w="7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20" w:type="dxa"/>
            <w:vAlign w:val="bottom"/>
          </w:tcPr>
          <w:p>
            <w:pPr>
              <w:spacing w:after="0"/>
              <w:rPr>
                <w:sz w:val="19"/>
                <w:szCs w:val="19"/>
                <w:color w:val="auto"/>
              </w:rPr>
            </w:pPr>
          </w:p>
        </w:tc>
      </w:tr>
      <w:tr>
        <w:trPr>
          <w:trHeight w:val="216"/>
        </w:trPr>
        <w:tc>
          <w:tcPr>
            <w:tcW w:w="8700" w:type="dxa"/>
            <w:vAlign w:val="bottom"/>
          </w:tcPr>
          <w:p>
            <w:pPr>
              <w:ind w:left="120"/>
              <w:spacing w:after="0"/>
              <w:rPr>
                <w:sz w:val="20"/>
                <w:szCs w:val="20"/>
                <w:color w:val="auto"/>
              </w:rPr>
            </w:pPr>
            <w:r>
              <w:rPr>
                <w:rFonts w:ascii="Arial" w:cs="Arial" w:eastAsia="Arial" w:hAnsi="Arial"/>
                <w:sz w:val="16"/>
                <w:szCs w:val="16"/>
                <w:color w:val="auto"/>
              </w:rPr>
              <w:t>Net cash provided by (used in) operating activities</w:t>
            </w:r>
          </w:p>
        </w:tc>
        <w:tc>
          <w:tcPr>
            <w:tcW w:w="760" w:type="dxa"/>
            <w:vAlign w:val="bottom"/>
          </w:tcPr>
          <w:p>
            <w:pPr>
              <w:jc w:val="right"/>
              <w:ind w:right="582"/>
              <w:spacing w:after="0"/>
              <w:rPr>
                <w:sz w:val="20"/>
                <w:szCs w:val="20"/>
                <w:color w:val="auto"/>
              </w:rPr>
            </w:pPr>
            <w:r>
              <w:rPr>
                <w:rFonts w:ascii="Arial" w:cs="Arial" w:eastAsia="Arial" w:hAnsi="Arial"/>
                <w:sz w:val="16"/>
                <w:szCs w:val="16"/>
                <w:color w:val="auto"/>
                <w:w w:val="89"/>
              </w:rPr>
              <w:t>$</w:t>
            </w:r>
          </w:p>
        </w:tc>
        <w:tc>
          <w:tcPr>
            <w:tcW w:w="460" w:type="dxa"/>
            <w:vAlign w:val="bottom"/>
          </w:tcPr>
          <w:p>
            <w:pPr>
              <w:jc w:val="right"/>
              <w:ind w:right="1"/>
              <w:spacing w:after="0"/>
              <w:rPr>
                <w:sz w:val="20"/>
                <w:szCs w:val="20"/>
                <w:color w:val="auto"/>
              </w:rPr>
            </w:pPr>
            <w:r>
              <w:rPr>
                <w:rFonts w:ascii="Arial" w:cs="Arial" w:eastAsia="Arial" w:hAnsi="Arial"/>
                <w:sz w:val="16"/>
                <w:szCs w:val="16"/>
                <w:color w:val="auto"/>
                <w:w w:val="89"/>
              </w:rPr>
              <w:t>1,991</w:t>
            </w:r>
          </w:p>
        </w:tc>
        <w:tc>
          <w:tcPr>
            <w:tcW w:w="100" w:type="dxa"/>
            <w:vAlign w:val="bottom"/>
          </w:tcPr>
          <w:p>
            <w:pPr>
              <w:spacing w:after="0"/>
              <w:rPr>
                <w:sz w:val="18"/>
                <w:szCs w:val="18"/>
                <w:color w:val="auto"/>
              </w:rPr>
            </w:pPr>
          </w:p>
        </w:tc>
        <w:tc>
          <w:tcPr>
            <w:tcW w:w="380" w:type="dxa"/>
            <w:vAlign w:val="bottom"/>
          </w:tcPr>
          <w:p>
            <w:pPr>
              <w:jc w:val="right"/>
              <w:ind w:right="19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847</w:t>
            </w:r>
          </w:p>
        </w:tc>
      </w:tr>
      <w:tr>
        <w:trPr>
          <w:trHeight w:val="219"/>
        </w:trPr>
        <w:tc>
          <w:tcPr>
            <w:tcW w:w="8700" w:type="dxa"/>
            <w:vAlign w:val="bottom"/>
          </w:tcPr>
          <w:p>
            <w:pPr>
              <w:ind w:left="120"/>
              <w:spacing w:after="0"/>
              <w:rPr>
                <w:sz w:val="20"/>
                <w:szCs w:val="20"/>
                <w:color w:val="auto"/>
              </w:rPr>
            </w:pPr>
            <w:r>
              <w:rPr>
                <w:rFonts w:ascii="Arial" w:cs="Arial" w:eastAsia="Arial" w:hAnsi="Arial"/>
                <w:sz w:val="16"/>
                <w:szCs w:val="16"/>
                <w:color w:val="auto"/>
              </w:rPr>
              <w:t>Changes in operating assets and liabilities</w:t>
            </w:r>
          </w:p>
        </w:tc>
        <w:tc>
          <w:tcPr>
            <w:tcW w:w="76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114</w:t>
            </w:r>
          </w:p>
        </w:tc>
        <w:tc>
          <w:tcPr>
            <w:tcW w:w="10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424</w:t>
            </w:r>
          </w:p>
        </w:tc>
      </w:tr>
      <w:tr>
        <w:trPr>
          <w:trHeight w:val="212"/>
        </w:trPr>
        <w:tc>
          <w:tcPr>
            <w:tcW w:w="8700" w:type="dxa"/>
            <w:vAlign w:val="bottom"/>
          </w:tcPr>
          <w:p>
            <w:pPr>
              <w:ind w:left="340"/>
              <w:spacing w:after="0"/>
              <w:rPr>
                <w:sz w:val="20"/>
                <w:szCs w:val="20"/>
                <w:color w:val="auto"/>
              </w:rPr>
            </w:pPr>
            <w:r>
              <w:rPr>
                <w:rFonts w:ascii="Arial" w:cs="Arial" w:eastAsia="Arial" w:hAnsi="Arial"/>
                <w:sz w:val="16"/>
                <w:szCs w:val="16"/>
                <w:b w:val="1"/>
                <w:bCs w:val="1"/>
                <w:color w:val="auto"/>
              </w:rPr>
              <w:t>Net cash provided by (used in) operating activities before changes in operating assets and liabilities</w:t>
            </w:r>
          </w:p>
        </w:tc>
        <w:tc>
          <w:tcPr>
            <w:tcW w:w="760" w:type="dxa"/>
            <w:vAlign w:val="bottom"/>
            <w:tcBorders>
              <w:bottom w:val="single" w:sz="8" w:color="auto"/>
            </w:tcBorders>
          </w:tcPr>
          <w:p>
            <w:pPr>
              <w:jc w:val="right"/>
              <w:ind w:right="582"/>
              <w:spacing w:after="0"/>
              <w:rPr>
                <w:sz w:val="20"/>
                <w:szCs w:val="20"/>
                <w:color w:val="auto"/>
              </w:rPr>
            </w:pPr>
            <w:r>
              <w:rPr>
                <w:rFonts w:ascii="Arial" w:cs="Arial" w:eastAsia="Arial" w:hAnsi="Arial"/>
                <w:sz w:val="16"/>
                <w:szCs w:val="16"/>
                <w:color w:val="auto"/>
                <w:w w:val="89"/>
              </w:rPr>
              <w:t>$</w:t>
            </w:r>
          </w:p>
        </w:tc>
        <w:tc>
          <w:tcPr>
            <w:tcW w:w="46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w w:val="89"/>
              </w:rPr>
              <w:t>2,105</w:t>
            </w:r>
          </w:p>
        </w:tc>
        <w:tc>
          <w:tcPr>
            <w:tcW w:w="100" w:type="dxa"/>
            <w:vAlign w:val="bottom"/>
          </w:tcPr>
          <w:p>
            <w:pPr>
              <w:spacing w:after="0"/>
              <w:rPr>
                <w:sz w:val="18"/>
                <w:szCs w:val="18"/>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1,271</w:t>
            </w:r>
          </w:p>
        </w:tc>
      </w:tr>
      <w:tr>
        <w:trPr>
          <w:trHeight w:val="20"/>
        </w:trPr>
        <w:tc>
          <w:tcPr>
            <w:tcW w:w="87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bl>
    <w:p>
      <w:pPr>
        <w:spacing w:after="0" w:line="28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Adjusted net income (loss) attributable to Hess Corporation is a non-GAAP financial measure, which we define as reported net income (loss) attributable to Hess Corporation excluding items identified as affecting comparability of earnings between periods, which are summarized on pages 25 to 28. Management uses adjusted net income (loss) to evaluate the Corporation’s operating performance and believes that investors’ understanding of our performance is enhanced by disclosing this measure, which excludes certain items that management believes are not directly related to ongoing operations and are not indicative of future business trends and operations.</w:t>
      </w:r>
    </w:p>
    <w:p>
      <w:pPr>
        <w:spacing w:after="0" w:line="80"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Net cash provided by (used in) operating activities before changes in operating assets and liabilities presented in this report is a non-GAAP measure, which we define as reported net cash provided by (used in) operating activities excluding changes in operating assets and liabilities. Management uses net cash provided by (used in) operating activities before changes in operating assets and liabilities to evaluate the Corporation’s ability to internally fund capital expenditures, pay dividends and service debt and believes that investors’ understanding of our ability to generate cash to fund these items is enhanced by disclosing this measure, which excludes working capital and other movements that may distort assessment of our performance between periods.</w:t>
      </w:r>
    </w:p>
    <w:p>
      <w:pPr>
        <w:spacing w:after="0" w:line="53" w:lineRule="exact"/>
        <w:rPr>
          <w:sz w:val="20"/>
          <w:szCs w:val="20"/>
          <w:color w:val="auto"/>
        </w:rPr>
      </w:pPr>
    </w:p>
    <w:p>
      <w:pPr>
        <w:spacing w:after="0"/>
        <w:rPr>
          <w:sz w:val="20"/>
          <w:szCs w:val="20"/>
          <w:color w:val="auto"/>
        </w:rPr>
      </w:pPr>
      <w:r>
        <w:rPr>
          <w:rFonts w:ascii="Arial" w:cs="Arial" w:eastAsia="Arial" w:hAnsi="Arial"/>
          <w:sz w:val="16"/>
          <w:szCs w:val="16"/>
          <w:color w:val="auto"/>
        </w:rPr>
        <w:t>These measures are not, and should not be viewed as, substitutes for U.S. GAAP net income (loss) and net cash provided by (used in) operating activities.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1" w:name="page22"/>
    <w:bookmarkEnd w:id="21"/>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Consolidated Results of Operations (continued)</w:t>
      </w:r>
    </w:p>
    <w:p>
      <w:pPr>
        <w:spacing w:after="0" w:line="121"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In the following discussion and elsewhere in this report, the financial effects of certain transactions are disclosed on an after-tax basis. Management reviews segment earnings on an after-tax basis and uses after-tax amounts in its review of variances in segment earnings. Management believes that after-tax amounts are a preferable method of explaining variances in earnings, since they show the entire effect of a transaction rather than only the pre-tax amount. After-tax amounts are determined by applying the income tax rate in each tax jurisdiction to pre-tax amounts.</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Comparison of Results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Exploration and Production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Following is a summarized income statement of our E&amp;P operations:</w:t>
      </w:r>
    </w:p>
    <w:p>
      <w:pPr>
        <w:spacing w:after="0" w:line="119"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020" w:type="dxa"/>
            <w:vAlign w:val="bottom"/>
          </w:tcPr>
          <w:p>
            <w:pPr>
              <w:spacing w:after="0"/>
              <w:rPr>
                <w:sz w:val="14"/>
                <w:szCs w:val="14"/>
                <w:color w:val="auto"/>
              </w:rPr>
            </w:pPr>
          </w:p>
        </w:tc>
        <w:tc>
          <w:tcPr>
            <w:tcW w:w="2020" w:type="dxa"/>
            <w:vAlign w:val="bottom"/>
            <w:gridSpan w:val="4"/>
          </w:tcPr>
          <w:p>
            <w:pPr>
              <w:jc w:val="right"/>
              <w:ind w:right="62"/>
              <w:spacing w:after="0"/>
              <w:rPr>
                <w:sz w:val="20"/>
                <w:szCs w:val="20"/>
                <w:color w:val="auto"/>
              </w:rPr>
            </w:pPr>
            <w:r>
              <w:rPr>
                <w:rFonts w:ascii="Arial" w:cs="Arial" w:eastAsia="Arial" w:hAnsi="Arial"/>
                <w:sz w:val="14"/>
                <w:szCs w:val="14"/>
                <w:b w:val="1"/>
                <w:bCs w:val="1"/>
                <w:color w:val="auto"/>
              </w:rPr>
              <w:t>Three Months Ended</w:t>
            </w: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180" w:type="dxa"/>
            <w:vAlign w:val="bottom"/>
            <w:gridSpan w:val="4"/>
          </w:tcPr>
          <w:p>
            <w:pPr>
              <w:jc w:val="right"/>
              <w:ind w:right="600"/>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6020" w:type="dxa"/>
            <w:vAlign w:val="bottom"/>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3"/>
          </w:tcPr>
          <w:p>
            <w:pPr>
              <w:jc w:val="right"/>
              <w:ind w:right="262"/>
              <w:spacing w:after="0"/>
              <w:rPr>
                <w:sz w:val="20"/>
                <w:szCs w:val="20"/>
                <w:color w:val="auto"/>
              </w:rPr>
            </w:pPr>
            <w:r>
              <w:rPr>
                <w:rFonts w:ascii="Arial" w:cs="Arial" w:eastAsia="Arial" w:hAnsi="Arial"/>
                <w:sz w:val="14"/>
                <w:szCs w:val="14"/>
                <w:b w:val="1"/>
                <w:bCs w:val="1"/>
                <w:color w:val="auto"/>
                <w:w w:val="96"/>
              </w:rPr>
              <w:t>September 30,</w:t>
            </w:r>
          </w:p>
        </w:tc>
        <w:tc>
          <w:tcPr>
            <w:tcW w:w="440" w:type="dxa"/>
            <w:vAlign w:val="bottom"/>
            <w:tcBorders>
              <w:bottom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20" w:type="dxa"/>
            <w:vAlign w:val="bottom"/>
            <w:tcBorders>
              <w:bottom w:val="single" w:sz="8" w:color="auto"/>
            </w:tcBorders>
          </w:tcPr>
          <w:p>
            <w:pPr>
              <w:spacing w:after="0"/>
              <w:rPr>
                <w:sz w:val="16"/>
                <w:szCs w:val="16"/>
                <w:color w:val="auto"/>
              </w:rPr>
            </w:pPr>
          </w:p>
        </w:tc>
      </w:tr>
      <w:tr>
        <w:trPr>
          <w:trHeight w:val="183"/>
        </w:trPr>
        <w:tc>
          <w:tcPr>
            <w:tcW w:w="6020" w:type="dxa"/>
            <w:vAlign w:val="bottom"/>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60" w:type="dxa"/>
            <w:vAlign w:val="bottom"/>
            <w:tcBorders>
              <w:bottom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4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w w:val="96"/>
              </w:rPr>
              <w:t>2021</w:t>
            </w:r>
          </w:p>
        </w:tc>
        <w:tc>
          <w:tcPr>
            <w:tcW w:w="160" w:type="dxa"/>
            <w:vAlign w:val="bottom"/>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400"/>
              <w:spacing w:after="0"/>
              <w:rPr>
                <w:sz w:val="20"/>
                <w:szCs w:val="20"/>
                <w:color w:val="auto"/>
              </w:rPr>
            </w:pPr>
            <w:r>
              <w:rPr>
                <w:rFonts w:ascii="Arial" w:cs="Arial" w:eastAsia="Arial" w:hAnsi="Arial"/>
                <w:sz w:val="14"/>
                <w:szCs w:val="14"/>
                <w:b w:val="1"/>
                <w:bCs w:val="1"/>
                <w:color w:val="auto"/>
              </w:rPr>
              <w:t>2020</w:t>
            </w:r>
          </w:p>
        </w:tc>
      </w:tr>
      <w:tr>
        <w:trPr>
          <w:trHeight w:val="212"/>
        </w:trPr>
        <w:tc>
          <w:tcPr>
            <w:tcW w:w="60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millions)</w:t>
            </w: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spacing w:after="0"/>
              <w:rPr>
                <w:sz w:val="18"/>
                <w:szCs w:val="18"/>
                <w:color w:val="auto"/>
              </w:rPr>
            </w:pPr>
          </w:p>
        </w:tc>
      </w:tr>
      <w:tr>
        <w:trPr>
          <w:trHeight w:val="222"/>
        </w:trPr>
        <w:tc>
          <w:tcPr>
            <w:tcW w:w="6020" w:type="dxa"/>
            <w:vAlign w:val="bottom"/>
          </w:tcPr>
          <w:p>
            <w:pPr>
              <w:spacing w:after="0"/>
              <w:rPr>
                <w:sz w:val="20"/>
                <w:szCs w:val="20"/>
                <w:color w:val="auto"/>
              </w:rPr>
            </w:pPr>
            <w:r>
              <w:rPr>
                <w:rFonts w:ascii="Arial" w:cs="Arial" w:eastAsia="Arial" w:hAnsi="Arial"/>
                <w:sz w:val="16"/>
                <w:szCs w:val="16"/>
                <w:b w:val="1"/>
                <w:bCs w:val="1"/>
                <w:color w:val="auto"/>
              </w:rPr>
              <w:t>Revenues and Non-Operating Income</w:t>
            </w:r>
          </w:p>
        </w:tc>
        <w:tc>
          <w:tcPr>
            <w:tcW w:w="7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20" w:type="dxa"/>
            <w:vAlign w:val="bottom"/>
          </w:tcPr>
          <w:p>
            <w:pPr>
              <w:spacing w:after="0"/>
              <w:rPr>
                <w:sz w:val="19"/>
                <w:szCs w:val="19"/>
                <w:color w:val="auto"/>
              </w:rPr>
            </w:pPr>
          </w:p>
        </w:tc>
      </w:tr>
      <w:tr>
        <w:trPr>
          <w:trHeight w:val="216"/>
        </w:trPr>
        <w:tc>
          <w:tcPr>
            <w:tcW w:w="6020" w:type="dxa"/>
            <w:vAlign w:val="bottom"/>
          </w:tcPr>
          <w:p>
            <w:pPr>
              <w:ind w:left="200"/>
              <w:spacing w:after="0"/>
              <w:rPr>
                <w:sz w:val="20"/>
                <w:szCs w:val="20"/>
                <w:color w:val="auto"/>
              </w:rPr>
            </w:pPr>
            <w:r>
              <w:rPr>
                <w:rFonts w:ascii="Arial" w:cs="Arial" w:eastAsia="Arial" w:hAnsi="Arial"/>
                <w:sz w:val="16"/>
                <w:szCs w:val="16"/>
                <w:color w:val="auto"/>
              </w:rPr>
              <w:t>Sales and other operating revenues</w:t>
            </w:r>
          </w:p>
        </w:tc>
        <w:tc>
          <w:tcPr>
            <w:tcW w:w="740" w:type="dxa"/>
            <w:vAlign w:val="bottom"/>
          </w:tcPr>
          <w:p>
            <w:pPr>
              <w:jc w:val="right"/>
              <w:ind w:right="564"/>
              <w:spacing w:after="0"/>
              <w:rPr>
                <w:sz w:val="20"/>
                <w:szCs w:val="20"/>
                <w:color w:val="auto"/>
              </w:rPr>
            </w:pPr>
            <w:r>
              <w:rPr>
                <w:rFonts w:ascii="Arial" w:cs="Arial" w:eastAsia="Arial" w:hAnsi="Arial"/>
                <w:sz w:val="16"/>
                <w:szCs w:val="16"/>
                <w:color w:val="auto"/>
                <w:w w:val="89"/>
              </w:rPr>
              <w:t>$</w:t>
            </w:r>
          </w:p>
        </w:tc>
        <w:tc>
          <w:tcPr>
            <w:tcW w:w="460" w:type="dxa"/>
            <w:vAlign w:val="bottom"/>
          </w:tcPr>
          <w:p>
            <w:pPr>
              <w:jc w:val="right"/>
              <w:spacing w:after="0"/>
              <w:rPr>
                <w:sz w:val="20"/>
                <w:szCs w:val="20"/>
                <w:color w:val="auto"/>
              </w:rPr>
            </w:pPr>
            <w:r>
              <w:rPr>
                <w:rFonts w:ascii="Arial" w:cs="Arial" w:eastAsia="Arial" w:hAnsi="Arial"/>
                <w:sz w:val="16"/>
                <w:szCs w:val="16"/>
                <w:color w:val="auto"/>
                <w:w w:val="89"/>
              </w:rPr>
              <w:t>1,759</w:t>
            </w:r>
          </w:p>
        </w:tc>
        <w:tc>
          <w:tcPr>
            <w:tcW w:w="80" w:type="dxa"/>
            <w:vAlign w:val="bottom"/>
          </w:tcPr>
          <w:p>
            <w:pPr>
              <w:spacing w:after="0"/>
              <w:rPr>
                <w:sz w:val="18"/>
                <w:szCs w:val="18"/>
                <w:color w:val="auto"/>
              </w:rPr>
            </w:pPr>
          </w:p>
        </w:tc>
        <w:tc>
          <w:tcPr>
            <w:tcW w:w="740" w:type="dxa"/>
            <w:vAlign w:val="bottom"/>
          </w:tcPr>
          <w:p>
            <w:pPr>
              <w:jc w:val="right"/>
              <w:ind w:right="56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89"/>
              </w:rPr>
              <w:t>1,159</w:t>
            </w:r>
          </w:p>
        </w:tc>
        <w:tc>
          <w:tcPr>
            <w:tcW w:w="140" w:type="dxa"/>
            <w:vAlign w:val="bottom"/>
          </w:tcPr>
          <w:p>
            <w:pPr>
              <w:spacing w:after="0"/>
              <w:rPr>
                <w:sz w:val="18"/>
                <w:szCs w:val="18"/>
                <w:color w:val="auto"/>
              </w:rPr>
            </w:pPr>
          </w:p>
        </w:tc>
        <w:tc>
          <w:tcPr>
            <w:tcW w:w="420" w:type="dxa"/>
            <w:vAlign w:val="bottom"/>
          </w:tcPr>
          <w:p>
            <w:pPr>
              <w:jc w:val="right"/>
              <w:ind w:right="239"/>
              <w:spacing w:after="0"/>
              <w:rPr>
                <w:sz w:val="20"/>
                <w:szCs w:val="20"/>
                <w:color w:val="auto"/>
              </w:rPr>
            </w:pPr>
            <w:r>
              <w:rPr>
                <w:rFonts w:ascii="Arial" w:cs="Arial" w:eastAsia="Arial" w:hAnsi="Arial"/>
                <w:sz w:val="16"/>
                <w:szCs w:val="16"/>
                <w:color w:val="auto"/>
                <w:w w:val="89"/>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5,236</w:t>
            </w:r>
          </w:p>
        </w:tc>
        <w:tc>
          <w:tcPr>
            <w:tcW w:w="160" w:type="dxa"/>
            <w:vAlign w:val="bottom"/>
          </w:tcPr>
          <w:p>
            <w:pPr>
              <w:spacing w:after="0"/>
              <w:rPr>
                <w:sz w:val="18"/>
                <w:szCs w:val="18"/>
                <w:color w:val="auto"/>
              </w:rPr>
            </w:pPr>
          </w:p>
        </w:tc>
        <w:tc>
          <w:tcPr>
            <w:tcW w:w="440" w:type="dxa"/>
            <w:vAlign w:val="bottom"/>
          </w:tcPr>
          <w:p>
            <w:pPr>
              <w:jc w:val="right"/>
              <w:ind w:right="25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3,346</w:t>
            </w:r>
          </w:p>
        </w:tc>
      </w:tr>
      <w:tr>
        <w:trPr>
          <w:trHeight w:val="216"/>
        </w:trPr>
        <w:tc>
          <w:tcPr>
            <w:tcW w:w="6020" w:type="dxa"/>
            <w:vAlign w:val="bottom"/>
          </w:tcPr>
          <w:p>
            <w:pPr>
              <w:ind w:left="200"/>
              <w:spacing w:after="0"/>
              <w:rPr>
                <w:sz w:val="20"/>
                <w:szCs w:val="20"/>
                <w:color w:val="auto"/>
              </w:rPr>
            </w:pPr>
            <w:r>
              <w:rPr>
                <w:rFonts w:ascii="Arial" w:cs="Arial" w:eastAsia="Arial" w:hAnsi="Arial"/>
                <w:sz w:val="16"/>
                <w:szCs w:val="16"/>
                <w:color w:val="auto"/>
              </w:rPr>
              <w:t>Gains (losses) on asset sales, net</w:t>
            </w:r>
          </w:p>
        </w:tc>
        <w:tc>
          <w:tcPr>
            <w:tcW w:w="7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6"/>
                <w:szCs w:val="16"/>
                <w:color w:val="auto"/>
              </w:rPr>
              <w:t>29</w:t>
            </w: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5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29</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6020" w:type="dxa"/>
            <w:vAlign w:val="bottom"/>
          </w:tcPr>
          <w:p>
            <w:pPr>
              <w:ind w:left="200"/>
              <w:spacing w:after="0"/>
              <w:rPr>
                <w:sz w:val="20"/>
                <w:szCs w:val="20"/>
                <w:color w:val="auto"/>
              </w:rPr>
            </w:pPr>
            <w:r>
              <w:rPr>
                <w:rFonts w:ascii="Arial" w:cs="Arial" w:eastAsia="Arial" w:hAnsi="Arial"/>
                <w:sz w:val="16"/>
                <w:szCs w:val="16"/>
                <w:color w:val="auto"/>
              </w:rPr>
              <w:t>Other, net</w:t>
            </w:r>
          </w:p>
        </w:tc>
        <w:tc>
          <w:tcPr>
            <w:tcW w:w="74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w:t>
            </w:r>
          </w:p>
        </w:tc>
        <w:tc>
          <w:tcPr>
            <w:tcW w:w="80" w:type="dxa"/>
            <w:vAlign w:val="bottom"/>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w:t>
            </w:r>
          </w:p>
        </w:tc>
        <w:tc>
          <w:tcPr>
            <w:tcW w:w="14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w:t>
            </w:r>
          </w:p>
        </w:tc>
        <w:tc>
          <w:tcPr>
            <w:tcW w:w="160" w:type="dxa"/>
            <w:vAlign w:val="bottom"/>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w:t>
            </w:r>
          </w:p>
        </w:tc>
      </w:tr>
      <w:tr>
        <w:trPr>
          <w:trHeight w:val="209"/>
        </w:trPr>
        <w:tc>
          <w:tcPr>
            <w:tcW w:w="6020" w:type="dxa"/>
            <w:vAlign w:val="bottom"/>
          </w:tcPr>
          <w:p>
            <w:pPr>
              <w:ind w:left="460"/>
              <w:spacing w:after="0"/>
              <w:rPr>
                <w:sz w:val="20"/>
                <w:szCs w:val="20"/>
                <w:color w:val="auto"/>
              </w:rPr>
            </w:pPr>
            <w:r>
              <w:rPr>
                <w:rFonts w:ascii="Arial" w:cs="Arial" w:eastAsia="Arial" w:hAnsi="Arial"/>
                <w:sz w:val="16"/>
                <w:szCs w:val="16"/>
                <w:color w:val="auto"/>
              </w:rPr>
              <w:t>Total revenues and non-operating income</w:t>
            </w:r>
          </w:p>
        </w:tc>
        <w:tc>
          <w:tcPr>
            <w:tcW w:w="74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1,807</w:t>
            </w:r>
          </w:p>
        </w:tc>
        <w:tc>
          <w:tcPr>
            <w:tcW w:w="80" w:type="dxa"/>
            <w:vAlign w:val="bottom"/>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1,169</w:t>
            </w:r>
          </w:p>
        </w:tc>
        <w:tc>
          <w:tcPr>
            <w:tcW w:w="14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5,314</w:t>
            </w:r>
          </w:p>
        </w:tc>
        <w:tc>
          <w:tcPr>
            <w:tcW w:w="160" w:type="dxa"/>
            <w:vAlign w:val="bottom"/>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3,363</w:t>
            </w:r>
          </w:p>
        </w:tc>
      </w:tr>
      <w:tr>
        <w:trPr>
          <w:trHeight w:val="196"/>
        </w:trPr>
        <w:tc>
          <w:tcPr>
            <w:tcW w:w="6020" w:type="dxa"/>
            <w:vAlign w:val="bottom"/>
          </w:tcPr>
          <w:p>
            <w:pPr>
              <w:spacing w:after="0"/>
              <w:rPr>
                <w:sz w:val="20"/>
                <w:szCs w:val="20"/>
                <w:color w:val="auto"/>
              </w:rPr>
            </w:pPr>
            <w:r>
              <w:rPr>
                <w:rFonts w:ascii="Arial" w:cs="Arial" w:eastAsia="Arial" w:hAnsi="Arial"/>
                <w:sz w:val="16"/>
                <w:szCs w:val="16"/>
                <w:b w:val="1"/>
                <w:bCs w:val="1"/>
                <w:color w:val="auto"/>
              </w:rPr>
              <w:t>Costs and Expenses</w:t>
            </w:r>
          </w:p>
        </w:tc>
        <w:tc>
          <w:tcPr>
            <w:tcW w:w="7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20" w:type="dxa"/>
            <w:vAlign w:val="bottom"/>
          </w:tcPr>
          <w:p>
            <w:pPr>
              <w:spacing w:after="0"/>
              <w:rPr>
                <w:sz w:val="17"/>
                <w:szCs w:val="17"/>
                <w:color w:val="auto"/>
              </w:rPr>
            </w:pPr>
          </w:p>
        </w:tc>
      </w:tr>
      <w:tr>
        <w:trPr>
          <w:trHeight w:val="216"/>
        </w:trPr>
        <w:tc>
          <w:tcPr>
            <w:tcW w:w="6020" w:type="dxa"/>
            <w:vAlign w:val="bottom"/>
          </w:tcPr>
          <w:p>
            <w:pPr>
              <w:ind w:left="200"/>
              <w:spacing w:after="0"/>
              <w:rPr>
                <w:sz w:val="20"/>
                <w:szCs w:val="20"/>
                <w:color w:val="auto"/>
              </w:rPr>
            </w:pPr>
            <w:r>
              <w:rPr>
                <w:rFonts w:ascii="Arial" w:cs="Arial" w:eastAsia="Arial" w:hAnsi="Arial"/>
                <w:sz w:val="16"/>
                <w:szCs w:val="16"/>
                <w:color w:val="auto"/>
              </w:rPr>
              <w:t>Marketing, including purchased oil and gas</w:t>
            </w:r>
          </w:p>
        </w:tc>
        <w:tc>
          <w:tcPr>
            <w:tcW w:w="7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6"/>
                <w:szCs w:val="16"/>
                <w:color w:val="auto"/>
              </w:rPr>
              <w:t>542</w:t>
            </w: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244</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1,427</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766</w:t>
            </w:r>
          </w:p>
        </w:tc>
      </w:tr>
      <w:tr>
        <w:trPr>
          <w:trHeight w:val="216"/>
        </w:trPr>
        <w:tc>
          <w:tcPr>
            <w:tcW w:w="6020" w:type="dxa"/>
            <w:vAlign w:val="bottom"/>
          </w:tcPr>
          <w:p>
            <w:pPr>
              <w:ind w:left="200"/>
              <w:spacing w:after="0"/>
              <w:rPr>
                <w:sz w:val="20"/>
                <w:szCs w:val="20"/>
                <w:color w:val="auto"/>
              </w:rPr>
            </w:pPr>
            <w:r>
              <w:rPr>
                <w:rFonts w:ascii="Arial" w:cs="Arial" w:eastAsia="Arial" w:hAnsi="Arial"/>
                <w:sz w:val="16"/>
                <w:szCs w:val="16"/>
                <w:color w:val="auto"/>
              </w:rPr>
              <w:t>Operating costs and expenses</w:t>
            </w:r>
          </w:p>
        </w:tc>
        <w:tc>
          <w:tcPr>
            <w:tcW w:w="7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6"/>
                <w:szCs w:val="16"/>
                <w:color w:val="auto"/>
              </w:rPr>
              <w:t>249</w:t>
            </w: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228</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711</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645</w:t>
            </w:r>
          </w:p>
        </w:tc>
      </w:tr>
      <w:tr>
        <w:trPr>
          <w:trHeight w:val="216"/>
        </w:trPr>
        <w:tc>
          <w:tcPr>
            <w:tcW w:w="6020" w:type="dxa"/>
            <w:vAlign w:val="bottom"/>
          </w:tcPr>
          <w:p>
            <w:pPr>
              <w:ind w:left="200"/>
              <w:spacing w:after="0"/>
              <w:rPr>
                <w:sz w:val="20"/>
                <w:szCs w:val="20"/>
                <w:color w:val="auto"/>
              </w:rPr>
            </w:pPr>
            <w:r>
              <w:rPr>
                <w:rFonts w:ascii="Arial" w:cs="Arial" w:eastAsia="Arial" w:hAnsi="Arial"/>
                <w:sz w:val="16"/>
                <w:szCs w:val="16"/>
                <w:color w:val="auto"/>
              </w:rPr>
              <w:t>Production and severance taxes</w:t>
            </w:r>
          </w:p>
        </w:tc>
        <w:tc>
          <w:tcPr>
            <w:tcW w:w="7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6"/>
                <w:szCs w:val="16"/>
                <w:color w:val="auto"/>
              </w:rPr>
              <w:t>42</w:t>
            </w: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34</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123</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92</w:t>
            </w:r>
          </w:p>
        </w:tc>
      </w:tr>
      <w:tr>
        <w:trPr>
          <w:trHeight w:val="216"/>
        </w:trPr>
        <w:tc>
          <w:tcPr>
            <w:tcW w:w="6020" w:type="dxa"/>
            <w:vAlign w:val="bottom"/>
          </w:tcPr>
          <w:p>
            <w:pPr>
              <w:ind w:left="200"/>
              <w:spacing w:after="0"/>
              <w:rPr>
                <w:sz w:val="20"/>
                <w:szCs w:val="20"/>
                <w:color w:val="auto"/>
              </w:rPr>
            </w:pPr>
            <w:r>
              <w:rPr>
                <w:rFonts w:ascii="Arial" w:cs="Arial" w:eastAsia="Arial" w:hAnsi="Arial"/>
                <w:sz w:val="16"/>
                <w:szCs w:val="16"/>
                <w:color w:val="auto"/>
              </w:rPr>
              <w:t>Midstream tariffs</w:t>
            </w:r>
          </w:p>
        </w:tc>
        <w:tc>
          <w:tcPr>
            <w:tcW w:w="7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6"/>
                <w:szCs w:val="16"/>
                <w:color w:val="auto"/>
              </w:rPr>
              <w:t>270</w:t>
            </w: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237</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802</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703</w:t>
            </w:r>
          </w:p>
        </w:tc>
      </w:tr>
      <w:tr>
        <w:trPr>
          <w:trHeight w:val="216"/>
        </w:trPr>
        <w:tc>
          <w:tcPr>
            <w:tcW w:w="6020" w:type="dxa"/>
            <w:vAlign w:val="bottom"/>
          </w:tcPr>
          <w:p>
            <w:pPr>
              <w:ind w:left="200"/>
              <w:spacing w:after="0"/>
              <w:rPr>
                <w:sz w:val="20"/>
                <w:szCs w:val="20"/>
                <w:color w:val="auto"/>
              </w:rPr>
            </w:pPr>
            <w:r>
              <w:rPr>
                <w:rFonts w:ascii="Arial" w:cs="Arial" w:eastAsia="Arial" w:hAnsi="Arial"/>
                <w:sz w:val="16"/>
                <w:szCs w:val="16"/>
                <w:color w:val="auto"/>
              </w:rPr>
              <w:t>Exploration expenses, including dry holes and lease impairment</w:t>
            </w:r>
          </w:p>
        </w:tc>
        <w:tc>
          <w:tcPr>
            <w:tcW w:w="7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6"/>
                <w:szCs w:val="16"/>
                <w:color w:val="auto"/>
              </w:rPr>
              <w:t>36</w:t>
            </w: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71</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117</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291</w:t>
            </w:r>
          </w:p>
        </w:tc>
      </w:tr>
      <w:tr>
        <w:trPr>
          <w:trHeight w:val="216"/>
        </w:trPr>
        <w:tc>
          <w:tcPr>
            <w:tcW w:w="6020" w:type="dxa"/>
            <w:vAlign w:val="bottom"/>
          </w:tcPr>
          <w:p>
            <w:pPr>
              <w:ind w:left="200"/>
              <w:spacing w:after="0"/>
              <w:rPr>
                <w:sz w:val="20"/>
                <w:szCs w:val="20"/>
                <w:color w:val="auto"/>
              </w:rPr>
            </w:pPr>
            <w:r>
              <w:rPr>
                <w:rFonts w:ascii="Arial" w:cs="Arial" w:eastAsia="Arial" w:hAnsi="Arial"/>
                <w:sz w:val="16"/>
                <w:szCs w:val="16"/>
                <w:color w:val="auto"/>
              </w:rPr>
              <w:t>General and administrative expenses</w:t>
            </w:r>
          </w:p>
        </w:tc>
        <w:tc>
          <w:tcPr>
            <w:tcW w:w="7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6"/>
                <w:szCs w:val="16"/>
                <w:color w:val="auto"/>
              </w:rPr>
              <w:t>42</w:t>
            </w: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53</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140</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155</w:t>
            </w:r>
          </w:p>
        </w:tc>
      </w:tr>
      <w:tr>
        <w:trPr>
          <w:trHeight w:val="216"/>
        </w:trPr>
        <w:tc>
          <w:tcPr>
            <w:tcW w:w="6020" w:type="dxa"/>
            <w:vAlign w:val="bottom"/>
          </w:tcPr>
          <w:p>
            <w:pPr>
              <w:ind w:left="200"/>
              <w:spacing w:after="0"/>
              <w:rPr>
                <w:sz w:val="20"/>
                <w:szCs w:val="20"/>
                <w:color w:val="auto"/>
              </w:rPr>
            </w:pPr>
            <w:r>
              <w:rPr>
                <w:rFonts w:ascii="Arial" w:cs="Arial" w:eastAsia="Arial" w:hAnsi="Arial"/>
                <w:sz w:val="16"/>
                <w:szCs w:val="16"/>
                <w:color w:val="auto"/>
              </w:rPr>
              <w:t>Depreciation, depletion and amortization</w:t>
            </w:r>
          </w:p>
        </w:tc>
        <w:tc>
          <w:tcPr>
            <w:tcW w:w="7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6"/>
                <w:szCs w:val="16"/>
                <w:color w:val="auto"/>
              </w:rPr>
              <w:t>308</w:t>
            </w: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478</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1,007</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1,469</w:t>
            </w:r>
          </w:p>
        </w:tc>
      </w:tr>
      <w:tr>
        <w:trPr>
          <w:trHeight w:val="216"/>
        </w:trPr>
        <w:tc>
          <w:tcPr>
            <w:tcW w:w="6020" w:type="dxa"/>
            <w:vAlign w:val="bottom"/>
          </w:tcPr>
          <w:p>
            <w:pPr>
              <w:ind w:left="200"/>
              <w:spacing w:after="0"/>
              <w:rPr>
                <w:sz w:val="20"/>
                <w:szCs w:val="20"/>
                <w:color w:val="auto"/>
              </w:rPr>
            </w:pPr>
            <w:r>
              <w:rPr>
                <w:rFonts w:ascii="Arial" w:cs="Arial" w:eastAsia="Arial" w:hAnsi="Arial"/>
                <w:sz w:val="16"/>
                <w:szCs w:val="16"/>
                <w:color w:val="auto"/>
              </w:rPr>
              <w:t>Impairment and other</w:t>
            </w:r>
          </w:p>
        </w:tc>
        <w:tc>
          <w:tcPr>
            <w:tcW w:w="740" w:type="dxa"/>
            <w:vAlign w:val="bottom"/>
          </w:tcPr>
          <w:p>
            <w:pPr>
              <w:spacing w:after="0"/>
              <w:rPr>
                <w:sz w:val="18"/>
                <w:szCs w:val="18"/>
                <w:color w:val="auto"/>
              </w:rPr>
            </w:pPr>
          </w:p>
        </w:tc>
        <w:tc>
          <w:tcPr>
            <w:tcW w:w="5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740" w:type="dxa"/>
            <w:vAlign w:val="bottom"/>
          </w:tcPr>
          <w:p>
            <w:pPr>
              <w:spacing w:after="0"/>
              <w:rPr>
                <w:sz w:val="18"/>
                <w:szCs w:val="18"/>
                <w:color w:val="auto"/>
              </w:rPr>
            </w:pPr>
          </w:p>
        </w:tc>
        <w:tc>
          <w:tcPr>
            <w:tcW w:w="5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147</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2,126</w:t>
            </w:r>
          </w:p>
        </w:tc>
      </w:tr>
      <w:tr>
        <w:trPr>
          <w:trHeight w:val="210"/>
        </w:trPr>
        <w:tc>
          <w:tcPr>
            <w:tcW w:w="6020" w:type="dxa"/>
            <w:vAlign w:val="bottom"/>
          </w:tcPr>
          <w:p>
            <w:pPr>
              <w:ind w:left="460"/>
              <w:spacing w:after="0"/>
              <w:rPr>
                <w:sz w:val="20"/>
                <w:szCs w:val="20"/>
                <w:color w:val="auto"/>
              </w:rPr>
            </w:pPr>
            <w:r>
              <w:rPr>
                <w:rFonts w:ascii="Arial" w:cs="Arial" w:eastAsia="Arial" w:hAnsi="Arial"/>
                <w:sz w:val="16"/>
                <w:szCs w:val="16"/>
                <w:color w:val="auto"/>
              </w:rPr>
              <w:t>Total costs and expenses</w:t>
            </w:r>
          </w:p>
        </w:tc>
        <w:tc>
          <w:tcPr>
            <w:tcW w:w="740" w:type="dxa"/>
            <w:vAlign w:val="bottom"/>
            <w:tcBorders>
              <w:top w:val="single" w:sz="8" w:color="auto"/>
              <w:bottom w:val="single" w:sz="8" w:color="auto"/>
            </w:tcBorders>
          </w:tcPr>
          <w:p>
            <w:pPr>
              <w:spacing w:after="0"/>
              <w:rPr>
                <w:sz w:val="18"/>
                <w:szCs w:val="18"/>
                <w:color w:val="auto"/>
              </w:rPr>
            </w:pP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1,489</w:t>
            </w:r>
          </w:p>
        </w:tc>
        <w:tc>
          <w:tcPr>
            <w:tcW w:w="80" w:type="dxa"/>
            <w:vAlign w:val="bottom"/>
          </w:tcPr>
          <w:p>
            <w:pPr>
              <w:spacing w:after="0"/>
              <w:rPr>
                <w:sz w:val="18"/>
                <w:szCs w:val="18"/>
                <w:color w:val="auto"/>
              </w:rPr>
            </w:pPr>
          </w:p>
        </w:tc>
        <w:tc>
          <w:tcPr>
            <w:tcW w:w="740" w:type="dxa"/>
            <w:vAlign w:val="bottom"/>
            <w:tcBorders>
              <w:top w:val="single" w:sz="8" w:color="auto"/>
              <w:bottom w:val="single" w:sz="8" w:color="auto"/>
            </w:tcBorders>
          </w:tcPr>
          <w:p>
            <w:pPr>
              <w:spacing w:after="0"/>
              <w:rPr>
                <w:sz w:val="18"/>
                <w:szCs w:val="18"/>
                <w:color w:val="auto"/>
              </w:rPr>
            </w:pP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w w:val="89"/>
              </w:rPr>
              <w:t>1,345</w:t>
            </w:r>
          </w:p>
        </w:tc>
        <w:tc>
          <w:tcPr>
            <w:tcW w:w="140" w:type="dxa"/>
            <w:vAlign w:val="bottom"/>
          </w:tcPr>
          <w:p>
            <w:pPr>
              <w:spacing w:after="0"/>
              <w:rPr>
                <w:sz w:val="18"/>
                <w:szCs w:val="18"/>
                <w:color w:val="auto"/>
              </w:rPr>
            </w:pPr>
          </w:p>
        </w:tc>
        <w:tc>
          <w:tcPr>
            <w:tcW w:w="42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4,474</w:t>
            </w:r>
          </w:p>
        </w:tc>
        <w:tc>
          <w:tcPr>
            <w:tcW w:w="160" w:type="dxa"/>
            <w:vAlign w:val="bottom"/>
          </w:tcPr>
          <w:p>
            <w:pPr>
              <w:spacing w:after="0"/>
              <w:rPr>
                <w:sz w:val="18"/>
                <w:szCs w:val="18"/>
                <w:color w:val="auto"/>
              </w:rPr>
            </w:pPr>
          </w:p>
        </w:tc>
        <w:tc>
          <w:tcPr>
            <w:tcW w:w="44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6,247</w:t>
            </w:r>
          </w:p>
        </w:tc>
      </w:tr>
      <w:tr>
        <w:trPr>
          <w:trHeight w:val="210"/>
        </w:trPr>
        <w:tc>
          <w:tcPr>
            <w:tcW w:w="6020" w:type="dxa"/>
            <w:vAlign w:val="bottom"/>
          </w:tcPr>
          <w:p>
            <w:pPr>
              <w:spacing w:after="0"/>
              <w:rPr>
                <w:sz w:val="20"/>
                <w:szCs w:val="20"/>
                <w:color w:val="auto"/>
              </w:rPr>
            </w:pPr>
            <w:r>
              <w:rPr>
                <w:rFonts w:ascii="Arial" w:cs="Arial" w:eastAsia="Arial" w:hAnsi="Arial"/>
                <w:sz w:val="16"/>
                <w:szCs w:val="16"/>
                <w:b w:val="1"/>
                <w:bCs w:val="1"/>
                <w:color w:val="auto"/>
              </w:rPr>
              <w:t>Results of Operations Before Income Taxes</w:t>
            </w:r>
          </w:p>
        </w:tc>
        <w:tc>
          <w:tcPr>
            <w:tcW w:w="74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6"/>
                <w:szCs w:val="16"/>
                <w:color w:val="auto"/>
              </w:rPr>
              <w:t>318</w:t>
            </w: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(176)</w:t>
            </w:r>
          </w:p>
        </w:tc>
        <w:tc>
          <w:tcPr>
            <w:tcW w:w="1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840</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(2,884)</w:t>
            </w:r>
          </w:p>
        </w:tc>
      </w:tr>
      <w:tr>
        <w:trPr>
          <w:trHeight w:val="219"/>
        </w:trPr>
        <w:tc>
          <w:tcPr>
            <w:tcW w:w="6020" w:type="dxa"/>
            <w:vAlign w:val="bottom"/>
          </w:tcPr>
          <w:p>
            <w:pPr>
              <w:ind w:left="200"/>
              <w:spacing w:after="0"/>
              <w:rPr>
                <w:sz w:val="20"/>
                <w:szCs w:val="20"/>
                <w:color w:val="auto"/>
              </w:rPr>
            </w:pPr>
            <w:r>
              <w:rPr>
                <w:rFonts w:ascii="Arial" w:cs="Arial" w:eastAsia="Arial" w:hAnsi="Arial"/>
                <w:sz w:val="16"/>
                <w:szCs w:val="16"/>
                <w:color w:val="auto"/>
              </w:rPr>
              <w:t>Provision (benefit) for income taxes</w:t>
            </w:r>
          </w:p>
        </w:tc>
        <w:tc>
          <w:tcPr>
            <w:tcW w:w="74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140</w:t>
            </w:r>
          </w:p>
        </w:tc>
        <w:tc>
          <w:tcPr>
            <w:tcW w:w="80" w:type="dxa"/>
            <w:vAlign w:val="bottom"/>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w:t>
            </w:r>
          </w:p>
        </w:tc>
        <w:tc>
          <w:tcPr>
            <w:tcW w:w="14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379</w:t>
            </w:r>
          </w:p>
        </w:tc>
        <w:tc>
          <w:tcPr>
            <w:tcW w:w="16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(82)</w:t>
            </w:r>
          </w:p>
        </w:tc>
      </w:tr>
      <w:tr>
        <w:trPr>
          <w:trHeight w:val="213"/>
        </w:trPr>
        <w:tc>
          <w:tcPr>
            <w:tcW w:w="6020" w:type="dxa"/>
            <w:vAlign w:val="bottom"/>
          </w:tcPr>
          <w:p>
            <w:pPr>
              <w:spacing w:after="0"/>
              <w:rPr>
                <w:sz w:val="20"/>
                <w:szCs w:val="20"/>
                <w:color w:val="auto"/>
              </w:rPr>
            </w:pPr>
            <w:r>
              <w:rPr>
                <w:rFonts w:ascii="Arial" w:cs="Arial" w:eastAsia="Arial" w:hAnsi="Arial"/>
                <w:sz w:val="16"/>
                <w:szCs w:val="16"/>
                <w:b w:val="1"/>
                <w:bCs w:val="1"/>
                <w:color w:val="auto"/>
              </w:rPr>
              <w:t>Net Income (Loss) Attributable to Hess Corporation</w:t>
            </w:r>
          </w:p>
        </w:tc>
        <w:tc>
          <w:tcPr>
            <w:tcW w:w="740" w:type="dxa"/>
            <w:vAlign w:val="bottom"/>
            <w:tcBorders>
              <w:bottom w:val="single" w:sz="8" w:color="auto"/>
            </w:tcBorders>
          </w:tcPr>
          <w:p>
            <w:pPr>
              <w:jc w:val="right"/>
              <w:ind w:right="564"/>
              <w:spacing w:after="0"/>
              <w:rPr>
                <w:sz w:val="20"/>
                <w:szCs w:val="20"/>
                <w:color w:val="auto"/>
              </w:rPr>
            </w:pPr>
            <w:r>
              <w:rPr>
                <w:rFonts w:ascii="Arial" w:cs="Arial" w:eastAsia="Arial" w:hAnsi="Arial"/>
                <w:sz w:val="16"/>
                <w:szCs w:val="16"/>
                <w:color w:val="auto"/>
                <w:w w:val="89"/>
              </w:rPr>
              <w:t>$</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178</w:t>
            </w:r>
          </w:p>
        </w:tc>
        <w:tc>
          <w:tcPr>
            <w:tcW w:w="80" w:type="dxa"/>
            <w:vAlign w:val="bottom"/>
          </w:tcPr>
          <w:p>
            <w:pPr>
              <w:spacing w:after="0"/>
              <w:rPr>
                <w:sz w:val="18"/>
                <w:szCs w:val="18"/>
                <w:color w:val="auto"/>
              </w:rPr>
            </w:pPr>
          </w:p>
        </w:tc>
        <w:tc>
          <w:tcPr>
            <w:tcW w:w="740" w:type="dxa"/>
            <w:vAlign w:val="bottom"/>
            <w:tcBorders>
              <w:bottom w:val="single" w:sz="8" w:color="auto"/>
            </w:tcBorders>
          </w:tcPr>
          <w:p>
            <w:pPr>
              <w:jc w:val="right"/>
              <w:ind w:right="562"/>
              <w:spacing w:after="0"/>
              <w:rPr>
                <w:sz w:val="20"/>
                <w:szCs w:val="20"/>
                <w:color w:val="auto"/>
              </w:rPr>
            </w:pPr>
            <w:r>
              <w:rPr>
                <w:rFonts w:ascii="Arial" w:cs="Arial" w:eastAsia="Arial" w:hAnsi="Arial"/>
                <w:sz w:val="16"/>
                <w:szCs w:val="16"/>
                <w:color w:val="auto"/>
                <w:w w:val="89"/>
              </w:rPr>
              <w:t>$</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(182)</w:t>
            </w:r>
          </w:p>
        </w:tc>
        <w:tc>
          <w:tcPr>
            <w:tcW w:w="140" w:type="dxa"/>
            <w:vAlign w:val="bottom"/>
          </w:tcPr>
          <w:p>
            <w:pPr>
              <w:spacing w:after="0"/>
              <w:rPr>
                <w:sz w:val="18"/>
                <w:szCs w:val="18"/>
                <w:color w:val="auto"/>
              </w:rPr>
            </w:pPr>
          </w:p>
        </w:tc>
        <w:tc>
          <w:tcPr>
            <w:tcW w:w="420" w:type="dxa"/>
            <w:vAlign w:val="bottom"/>
            <w:tcBorders>
              <w:bottom w:val="single" w:sz="8" w:color="auto"/>
            </w:tcBorders>
          </w:tcPr>
          <w:p>
            <w:pPr>
              <w:jc w:val="right"/>
              <w:ind w:right="239"/>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461</w:t>
            </w:r>
          </w:p>
        </w:tc>
        <w:tc>
          <w:tcPr>
            <w:tcW w:w="160" w:type="dxa"/>
            <w:vAlign w:val="bottom"/>
          </w:tcPr>
          <w:p>
            <w:pPr>
              <w:spacing w:after="0"/>
              <w:rPr>
                <w:sz w:val="18"/>
                <w:szCs w:val="18"/>
                <w:color w:val="auto"/>
              </w:rPr>
            </w:pPr>
          </w:p>
        </w:tc>
        <w:tc>
          <w:tcPr>
            <w:tcW w:w="440" w:type="dxa"/>
            <w:vAlign w:val="bottom"/>
            <w:tcBorders>
              <w:bottom w:val="single" w:sz="8" w:color="auto"/>
            </w:tcBorders>
          </w:tcPr>
          <w:p>
            <w:pPr>
              <w:jc w:val="right"/>
              <w:ind w:right="259"/>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(2,802)</w:t>
            </w:r>
          </w:p>
        </w:tc>
      </w:tr>
      <w:tr>
        <w:trPr>
          <w:trHeight w:val="20"/>
        </w:trPr>
        <w:tc>
          <w:tcPr>
            <w:tcW w:w="602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bl>
    <w:p>
      <w:pPr>
        <w:spacing w:after="0" w:line="29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Excluding the E&amp;P items affecting comparability of earnings between periods detailed on pages 25 and 26, the changes in E&amp;P results are primarily attributable to changes in selling prices, production and sales volumes, marketing expenses, cash operating costs, Midstream tariffs, depreciation, depletion and amortization, exploration expenses and income taxes, as discussed below.</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2" w:name="page23"/>
    <w:bookmarkEnd w:id="22"/>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Consolidated Results of Operations (continued)</w:t>
      </w:r>
    </w:p>
    <w:p>
      <w:pPr>
        <w:spacing w:after="0" w:line="121"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b w:val="1"/>
          <w:bCs w:val="1"/>
          <w:i w:val="1"/>
          <w:iCs w:val="1"/>
          <w:color w:val="auto"/>
        </w:rPr>
        <w:t xml:space="preserve">Selling Prices: </w:t>
      </w:r>
      <w:r>
        <w:rPr>
          <w:rFonts w:ascii="Arial" w:cs="Arial" w:eastAsia="Arial" w:hAnsi="Arial"/>
          <w:sz w:val="18"/>
          <w:szCs w:val="18"/>
          <w:color w:val="auto"/>
        </w:rPr>
        <w:t>Higher realized selling prices in the third quarter and first nine months of 2021, increased after-tax results by approximately $325 million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$995 million, respectively, compared to the same periods in 2020. Average selling prices were as follows:</w:t>
      </w:r>
    </w:p>
    <w:p>
      <w:pPr>
        <w:spacing w:after="0" w:line="64"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1780" w:type="dxa"/>
            <w:vAlign w:val="bottom"/>
          </w:tcPr>
          <w:p>
            <w:pPr>
              <w:spacing w:after="0"/>
              <w:rPr>
                <w:sz w:val="14"/>
                <w:szCs w:val="14"/>
                <w:color w:val="auto"/>
              </w:rPr>
            </w:pPr>
          </w:p>
        </w:tc>
        <w:tc>
          <w:tcPr>
            <w:tcW w:w="4340" w:type="dxa"/>
            <w:vAlign w:val="bottom"/>
          </w:tcPr>
          <w:p>
            <w:pPr>
              <w:spacing w:after="0"/>
              <w:rPr>
                <w:sz w:val="14"/>
                <w:szCs w:val="14"/>
                <w:color w:val="auto"/>
              </w:rPr>
            </w:pPr>
          </w:p>
        </w:tc>
        <w:tc>
          <w:tcPr>
            <w:tcW w:w="2040" w:type="dxa"/>
            <w:vAlign w:val="bottom"/>
            <w:gridSpan w:val="4"/>
          </w:tcPr>
          <w:p>
            <w:pPr>
              <w:jc w:val="right"/>
              <w:ind w:right="61"/>
              <w:spacing w:after="0"/>
              <w:rPr>
                <w:sz w:val="20"/>
                <w:szCs w:val="20"/>
                <w:color w:val="auto"/>
              </w:rPr>
            </w:pPr>
            <w:r>
              <w:rPr>
                <w:rFonts w:ascii="Arial" w:cs="Arial" w:eastAsia="Arial" w:hAnsi="Arial"/>
                <w:sz w:val="14"/>
                <w:szCs w:val="14"/>
                <w:b w:val="1"/>
                <w:bCs w:val="1"/>
                <w:color w:val="auto"/>
              </w:rPr>
              <w:t>Three Months Ended</w:t>
            </w:r>
          </w:p>
        </w:tc>
        <w:tc>
          <w:tcPr>
            <w:tcW w:w="4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0" w:type="dxa"/>
            <w:vAlign w:val="bottom"/>
            <w:gridSpan w:val="4"/>
          </w:tcPr>
          <w:p>
            <w:pPr>
              <w:jc w:val="right"/>
              <w:ind w:right="539"/>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1780" w:type="dxa"/>
            <w:vAlign w:val="bottom"/>
          </w:tcPr>
          <w:p>
            <w:pPr>
              <w:spacing w:after="0"/>
              <w:rPr>
                <w:sz w:val="16"/>
                <w:szCs w:val="16"/>
                <w:color w:val="auto"/>
              </w:rPr>
            </w:pPr>
          </w:p>
        </w:tc>
        <w:tc>
          <w:tcPr>
            <w:tcW w:w="4340" w:type="dxa"/>
            <w:vAlign w:val="bottom"/>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3"/>
          </w:tcPr>
          <w:p>
            <w:pPr>
              <w:jc w:val="right"/>
              <w:ind w:right="281"/>
              <w:spacing w:after="0"/>
              <w:rPr>
                <w:sz w:val="20"/>
                <w:szCs w:val="20"/>
                <w:color w:val="auto"/>
              </w:rPr>
            </w:pPr>
            <w:r>
              <w:rPr>
                <w:rFonts w:ascii="Arial" w:cs="Arial" w:eastAsia="Arial" w:hAnsi="Arial"/>
                <w:sz w:val="14"/>
                <w:szCs w:val="14"/>
                <w:b w:val="1"/>
                <w:bCs w:val="1"/>
                <w:color w:val="auto"/>
                <w:w w:val="96"/>
              </w:rPr>
              <w:t>September 30,</w:t>
            </w:r>
          </w:p>
        </w:tc>
        <w:tc>
          <w:tcPr>
            <w:tcW w:w="440" w:type="dxa"/>
            <w:vAlign w:val="bottom"/>
            <w:tcBorders>
              <w:bottom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r>
      <w:tr>
        <w:trPr>
          <w:trHeight w:val="181"/>
        </w:trPr>
        <w:tc>
          <w:tcPr>
            <w:tcW w:w="1780" w:type="dxa"/>
            <w:vAlign w:val="bottom"/>
          </w:tcPr>
          <w:p>
            <w:pPr>
              <w:spacing w:after="0"/>
              <w:rPr>
                <w:sz w:val="15"/>
                <w:szCs w:val="15"/>
                <w:color w:val="auto"/>
              </w:rPr>
            </w:pPr>
          </w:p>
        </w:tc>
        <w:tc>
          <w:tcPr>
            <w:tcW w:w="4340" w:type="dxa"/>
            <w:vAlign w:val="bottom"/>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4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40" w:type="dxa"/>
            <w:vAlign w:val="bottom"/>
            <w:tcBorders>
              <w:bottom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379"/>
              <w:spacing w:after="0"/>
              <w:rPr>
                <w:sz w:val="20"/>
                <w:szCs w:val="20"/>
                <w:color w:val="auto"/>
              </w:rPr>
            </w:pPr>
            <w:r>
              <w:rPr>
                <w:rFonts w:ascii="Arial" w:cs="Arial" w:eastAsia="Arial" w:hAnsi="Arial"/>
                <w:sz w:val="14"/>
                <w:szCs w:val="14"/>
                <w:b w:val="1"/>
                <w:bCs w:val="1"/>
                <w:color w:val="auto"/>
                <w:w w:val="96"/>
              </w:rPr>
              <w:t>2020</w:t>
            </w:r>
          </w:p>
        </w:tc>
      </w:tr>
      <w:tr>
        <w:trPr>
          <w:trHeight w:val="212"/>
        </w:trPr>
        <w:tc>
          <w:tcPr>
            <w:tcW w:w="178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w w:val="89"/>
              </w:rPr>
              <w:t>Average Selling Prices (a)</w:t>
            </w:r>
          </w:p>
        </w:tc>
        <w:tc>
          <w:tcPr>
            <w:tcW w:w="43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31"/>
        </w:trPr>
        <w:tc>
          <w:tcPr>
            <w:tcW w:w="6120" w:type="dxa"/>
            <w:vAlign w:val="bottom"/>
            <w:gridSpan w:val="2"/>
          </w:tcPr>
          <w:p>
            <w:pPr>
              <w:ind w:left="120"/>
              <w:spacing w:after="0"/>
              <w:rPr>
                <w:sz w:val="20"/>
                <w:szCs w:val="20"/>
                <w:color w:val="auto"/>
              </w:rPr>
            </w:pPr>
            <w:r>
              <w:rPr>
                <w:rFonts w:ascii="Arial" w:cs="Arial" w:eastAsia="Arial" w:hAnsi="Arial"/>
                <w:sz w:val="16"/>
                <w:szCs w:val="16"/>
                <w:b w:val="1"/>
                <w:bCs w:val="1"/>
                <w:color w:val="auto"/>
              </w:rPr>
              <w:t>Crude Oil – Per Barrel (Including Hedging)</w:t>
            </w:r>
          </w:p>
        </w:tc>
        <w:tc>
          <w:tcPr>
            <w:tcW w:w="7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780" w:type="dxa"/>
            <w:vAlign w:val="bottom"/>
          </w:tcPr>
          <w:p>
            <w:pPr>
              <w:spacing w:after="0"/>
              <w:rPr>
                <w:sz w:val="20"/>
                <w:szCs w:val="20"/>
                <w:color w:val="auto"/>
              </w:rPr>
            </w:pP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United States</w:t>
            </w: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16"/>
        </w:trPr>
        <w:tc>
          <w:tcPr>
            <w:tcW w:w="6120" w:type="dxa"/>
            <w:vAlign w:val="bottom"/>
            <w:gridSpan w:val="2"/>
          </w:tcPr>
          <w:p>
            <w:pPr>
              <w:ind w:left="460"/>
              <w:spacing w:after="0"/>
              <w:rPr>
                <w:sz w:val="20"/>
                <w:szCs w:val="20"/>
                <w:color w:val="auto"/>
              </w:rPr>
            </w:pPr>
            <w:r>
              <w:rPr>
                <w:rFonts w:ascii="Arial" w:cs="Arial" w:eastAsia="Arial" w:hAnsi="Arial"/>
                <w:sz w:val="16"/>
                <w:szCs w:val="16"/>
                <w:color w:val="auto"/>
              </w:rPr>
              <w:t>North Dakota (b)</w:t>
            </w:r>
          </w:p>
        </w:tc>
        <w:tc>
          <w:tcPr>
            <w:tcW w:w="740" w:type="dxa"/>
            <w:vAlign w:val="bottom"/>
          </w:tcPr>
          <w:p>
            <w:pPr>
              <w:jc w:val="right"/>
              <w:ind w:right="56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89"/>
              </w:rPr>
              <w:t>59.65</w:t>
            </w:r>
          </w:p>
        </w:tc>
        <w:tc>
          <w:tcPr>
            <w:tcW w:w="120" w:type="dxa"/>
            <w:vAlign w:val="bottom"/>
          </w:tcPr>
          <w:p>
            <w:pPr>
              <w:spacing w:after="0"/>
              <w:rPr>
                <w:sz w:val="18"/>
                <w:szCs w:val="18"/>
                <w:color w:val="auto"/>
              </w:rPr>
            </w:pPr>
          </w:p>
        </w:tc>
        <w:tc>
          <w:tcPr>
            <w:tcW w:w="740" w:type="dxa"/>
            <w:vAlign w:val="bottom"/>
          </w:tcPr>
          <w:p>
            <w:pPr>
              <w:jc w:val="right"/>
              <w:ind w:right="561"/>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89"/>
              </w:rPr>
              <w:t>43.20</w:t>
            </w:r>
          </w:p>
        </w:tc>
        <w:tc>
          <w:tcPr>
            <w:tcW w:w="14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52.27</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42.61</w:t>
            </w:r>
          </w:p>
        </w:tc>
      </w:tr>
      <w:tr>
        <w:trPr>
          <w:trHeight w:val="216"/>
        </w:trPr>
        <w:tc>
          <w:tcPr>
            <w:tcW w:w="6120" w:type="dxa"/>
            <w:vAlign w:val="bottom"/>
            <w:gridSpan w:val="2"/>
          </w:tcPr>
          <w:p>
            <w:pPr>
              <w:ind w:left="460"/>
              <w:spacing w:after="0"/>
              <w:rPr>
                <w:sz w:val="20"/>
                <w:szCs w:val="20"/>
                <w:color w:val="auto"/>
              </w:rPr>
            </w:pPr>
            <w:r>
              <w:rPr>
                <w:rFonts w:ascii="Arial" w:cs="Arial" w:eastAsia="Arial" w:hAnsi="Arial"/>
                <w:sz w:val="16"/>
                <w:szCs w:val="16"/>
                <w:color w:val="auto"/>
              </w:rPr>
              <w:t>Offshore</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62.23</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48.56</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57.36</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45.60</w:t>
            </w: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Total United States</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60.14</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44.55</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53.46</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43.54</w:t>
            </w: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Guyana</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70.05</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52.60</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65.31</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44.35</w:t>
            </w: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Malaysia and JDA</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69.87</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42.59</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64.94</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38.02</w:t>
            </w: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Other (c)</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68.36</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50.38</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62.93</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52.97</w:t>
            </w:r>
          </w:p>
        </w:tc>
      </w:tr>
      <w:tr>
        <w:trPr>
          <w:trHeight w:val="216"/>
        </w:trPr>
        <w:tc>
          <w:tcPr>
            <w:tcW w:w="6120" w:type="dxa"/>
            <w:vAlign w:val="bottom"/>
            <w:gridSpan w:val="2"/>
          </w:tcPr>
          <w:p>
            <w:pPr>
              <w:ind w:left="460"/>
              <w:spacing w:after="0"/>
              <w:rPr>
                <w:sz w:val="20"/>
                <w:szCs w:val="20"/>
                <w:color w:val="auto"/>
              </w:rPr>
            </w:pPr>
            <w:r>
              <w:rPr>
                <w:rFonts w:ascii="Arial" w:cs="Arial" w:eastAsia="Arial" w:hAnsi="Arial"/>
                <w:sz w:val="16"/>
                <w:szCs w:val="16"/>
                <w:color w:val="auto"/>
              </w:rPr>
              <w:t>Worldwide</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63.17</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45.60</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56.62</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43.88</w:t>
            </w:r>
          </w:p>
        </w:tc>
      </w:tr>
      <w:tr>
        <w:trPr>
          <w:trHeight w:val="216"/>
        </w:trPr>
        <w:tc>
          <w:tcPr>
            <w:tcW w:w="6120" w:type="dxa"/>
            <w:vAlign w:val="bottom"/>
            <w:gridSpan w:val="2"/>
          </w:tcPr>
          <w:p>
            <w:pPr>
              <w:ind w:left="120"/>
              <w:spacing w:after="0"/>
              <w:rPr>
                <w:sz w:val="20"/>
                <w:szCs w:val="20"/>
                <w:color w:val="auto"/>
              </w:rPr>
            </w:pPr>
            <w:r>
              <w:rPr>
                <w:rFonts w:ascii="Arial" w:cs="Arial" w:eastAsia="Arial" w:hAnsi="Arial"/>
                <w:sz w:val="16"/>
                <w:szCs w:val="16"/>
                <w:b w:val="1"/>
                <w:bCs w:val="1"/>
                <w:color w:val="auto"/>
              </w:rPr>
              <w:t>Crude Oil – Per Barrel (Excluding Hedging)</w:t>
            </w: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United States</w:t>
            </w: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16"/>
        </w:trPr>
        <w:tc>
          <w:tcPr>
            <w:tcW w:w="6120" w:type="dxa"/>
            <w:vAlign w:val="bottom"/>
            <w:gridSpan w:val="2"/>
          </w:tcPr>
          <w:p>
            <w:pPr>
              <w:ind w:left="460"/>
              <w:spacing w:after="0"/>
              <w:rPr>
                <w:sz w:val="20"/>
                <w:szCs w:val="20"/>
                <w:color w:val="auto"/>
              </w:rPr>
            </w:pPr>
            <w:r>
              <w:rPr>
                <w:rFonts w:ascii="Arial" w:cs="Arial" w:eastAsia="Arial" w:hAnsi="Arial"/>
                <w:sz w:val="16"/>
                <w:szCs w:val="16"/>
                <w:color w:val="auto"/>
              </w:rPr>
              <w:t>North Dakota (b)</w:t>
            </w:r>
          </w:p>
        </w:tc>
        <w:tc>
          <w:tcPr>
            <w:tcW w:w="740" w:type="dxa"/>
            <w:vAlign w:val="bottom"/>
          </w:tcPr>
          <w:p>
            <w:pPr>
              <w:jc w:val="right"/>
              <w:ind w:right="56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89"/>
              </w:rPr>
              <w:t>65.11</w:t>
            </w:r>
          </w:p>
        </w:tc>
        <w:tc>
          <w:tcPr>
            <w:tcW w:w="120" w:type="dxa"/>
            <w:vAlign w:val="bottom"/>
          </w:tcPr>
          <w:p>
            <w:pPr>
              <w:spacing w:after="0"/>
              <w:rPr>
                <w:sz w:val="18"/>
                <w:szCs w:val="18"/>
                <w:color w:val="auto"/>
              </w:rPr>
            </w:pPr>
          </w:p>
        </w:tc>
        <w:tc>
          <w:tcPr>
            <w:tcW w:w="740" w:type="dxa"/>
            <w:vAlign w:val="bottom"/>
          </w:tcPr>
          <w:p>
            <w:pPr>
              <w:jc w:val="right"/>
              <w:ind w:right="561"/>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89"/>
              </w:rPr>
              <w:t>33.69</w:t>
            </w:r>
          </w:p>
        </w:tc>
        <w:tc>
          <w:tcPr>
            <w:tcW w:w="14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56.37</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32.95</w:t>
            </w:r>
          </w:p>
        </w:tc>
      </w:tr>
      <w:tr>
        <w:trPr>
          <w:trHeight w:val="216"/>
        </w:trPr>
        <w:tc>
          <w:tcPr>
            <w:tcW w:w="6120" w:type="dxa"/>
            <w:vAlign w:val="bottom"/>
            <w:gridSpan w:val="2"/>
          </w:tcPr>
          <w:p>
            <w:pPr>
              <w:ind w:left="460"/>
              <w:spacing w:after="0"/>
              <w:rPr>
                <w:sz w:val="20"/>
                <w:szCs w:val="20"/>
                <w:color w:val="auto"/>
              </w:rPr>
            </w:pPr>
            <w:r>
              <w:rPr>
                <w:rFonts w:ascii="Arial" w:cs="Arial" w:eastAsia="Arial" w:hAnsi="Arial"/>
                <w:sz w:val="16"/>
                <w:szCs w:val="16"/>
                <w:color w:val="auto"/>
              </w:rPr>
              <w:t>Offshore</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67.88</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38.39</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61.91</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35.64</w:t>
            </w: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Total United States</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65.64</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34.87</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57.66</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33.79</w:t>
            </w: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Guyana</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73.12</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42.82</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67.72</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33.10</w:t>
            </w: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Malaysia and JDA</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69.87</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42.59</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64.94</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38.02</w:t>
            </w: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Other (c)</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71.43</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44.38</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65.91</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41.72</w:t>
            </w:r>
          </w:p>
        </w:tc>
      </w:tr>
      <w:tr>
        <w:trPr>
          <w:trHeight w:val="216"/>
        </w:trPr>
        <w:tc>
          <w:tcPr>
            <w:tcW w:w="6120" w:type="dxa"/>
            <w:vAlign w:val="bottom"/>
            <w:gridSpan w:val="2"/>
          </w:tcPr>
          <w:p>
            <w:pPr>
              <w:ind w:left="460"/>
              <w:spacing w:after="0"/>
              <w:rPr>
                <w:sz w:val="20"/>
                <w:szCs w:val="20"/>
                <w:color w:val="auto"/>
              </w:rPr>
            </w:pPr>
            <w:r>
              <w:rPr>
                <w:rFonts w:ascii="Arial" w:cs="Arial" w:eastAsia="Arial" w:hAnsi="Arial"/>
                <w:sz w:val="16"/>
                <w:szCs w:val="16"/>
                <w:color w:val="auto"/>
              </w:rPr>
              <w:t>Worldwide</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67.88</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36.17</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60.33</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34.02</w:t>
            </w:r>
          </w:p>
        </w:tc>
      </w:tr>
      <w:tr>
        <w:trPr>
          <w:trHeight w:val="216"/>
        </w:trPr>
        <w:tc>
          <w:tcPr>
            <w:tcW w:w="6120" w:type="dxa"/>
            <w:vAlign w:val="bottom"/>
            <w:gridSpan w:val="2"/>
          </w:tcPr>
          <w:p>
            <w:pPr>
              <w:ind w:left="120"/>
              <w:spacing w:after="0"/>
              <w:rPr>
                <w:sz w:val="20"/>
                <w:szCs w:val="20"/>
                <w:color w:val="auto"/>
              </w:rPr>
            </w:pPr>
            <w:r>
              <w:rPr>
                <w:rFonts w:ascii="Arial" w:cs="Arial" w:eastAsia="Arial" w:hAnsi="Arial"/>
                <w:sz w:val="16"/>
                <w:szCs w:val="16"/>
                <w:b w:val="1"/>
                <w:bCs w:val="1"/>
                <w:color w:val="auto"/>
              </w:rPr>
              <w:t>Natural Gas Liquids – Per Barrel</w:t>
            </w: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United States</w:t>
            </w: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16"/>
        </w:trPr>
        <w:tc>
          <w:tcPr>
            <w:tcW w:w="6120" w:type="dxa"/>
            <w:vAlign w:val="bottom"/>
            <w:gridSpan w:val="2"/>
          </w:tcPr>
          <w:p>
            <w:pPr>
              <w:ind w:left="460"/>
              <w:spacing w:after="0"/>
              <w:rPr>
                <w:sz w:val="20"/>
                <w:szCs w:val="20"/>
                <w:color w:val="auto"/>
              </w:rPr>
            </w:pPr>
            <w:r>
              <w:rPr>
                <w:rFonts w:ascii="Arial" w:cs="Arial" w:eastAsia="Arial" w:hAnsi="Arial"/>
                <w:sz w:val="16"/>
                <w:szCs w:val="16"/>
                <w:color w:val="auto"/>
              </w:rPr>
              <w:t>North Dakota</w:t>
            </w:r>
          </w:p>
        </w:tc>
        <w:tc>
          <w:tcPr>
            <w:tcW w:w="740" w:type="dxa"/>
            <w:vAlign w:val="bottom"/>
          </w:tcPr>
          <w:p>
            <w:pPr>
              <w:jc w:val="right"/>
              <w:ind w:right="56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89"/>
              </w:rPr>
              <w:t>32.94</w:t>
            </w:r>
          </w:p>
        </w:tc>
        <w:tc>
          <w:tcPr>
            <w:tcW w:w="120" w:type="dxa"/>
            <w:vAlign w:val="bottom"/>
          </w:tcPr>
          <w:p>
            <w:pPr>
              <w:spacing w:after="0"/>
              <w:rPr>
                <w:sz w:val="18"/>
                <w:szCs w:val="18"/>
                <w:color w:val="auto"/>
              </w:rPr>
            </w:pPr>
          </w:p>
        </w:tc>
        <w:tc>
          <w:tcPr>
            <w:tcW w:w="740" w:type="dxa"/>
            <w:vAlign w:val="bottom"/>
          </w:tcPr>
          <w:p>
            <w:pPr>
              <w:jc w:val="right"/>
              <w:ind w:right="561"/>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89"/>
              </w:rPr>
              <w:t>11.68</w:t>
            </w:r>
          </w:p>
        </w:tc>
        <w:tc>
          <w:tcPr>
            <w:tcW w:w="14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28.59</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9.57</w:t>
            </w:r>
          </w:p>
        </w:tc>
      </w:tr>
      <w:tr>
        <w:trPr>
          <w:trHeight w:val="216"/>
        </w:trPr>
        <w:tc>
          <w:tcPr>
            <w:tcW w:w="6120" w:type="dxa"/>
            <w:vAlign w:val="bottom"/>
            <w:gridSpan w:val="2"/>
          </w:tcPr>
          <w:p>
            <w:pPr>
              <w:ind w:left="460"/>
              <w:spacing w:after="0"/>
              <w:rPr>
                <w:sz w:val="20"/>
                <w:szCs w:val="20"/>
                <w:color w:val="auto"/>
              </w:rPr>
            </w:pPr>
            <w:r>
              <w:rPr>
                <w:rFonts w:ascii="Arial" w:cs="Arial" w:eastAsia="Arial" w:hAnsi="Arial"/>
                <w:sz w:val="16"/>
                <w:szCs w:val="16"/>
                <w:color w:val="auto"/>
              </w:rPr>
              <w:t>Offshore</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32.00</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11.03</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24.08</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8.27</w:t>
            </w:r>
          </w:p>
        </w:tc>
      </w:tr>
      <w:tr>
        <w:trPr>
          <w:trHeight w:val="216"/>
        </w:trPr>
        <w:tc>
          <w:tcPr>
            <w:tcW w:w="6120" w:type="dxa"/>
            <w:vAlign w:val="bottom"/>
            <w:gridSpan w:val="2"/>
          </w:tcPr>
          <w:p>
            <w:pPr>
              <w:ind w:left="460"/>
              <w:spacing w:after="0"/>
              <w:rPr>
                <w:sz w:val="20"/>
                <w:szCs w:val="20"/>
                <w:color w:val="auto"/>
              </w:rPr>
            </w:pPr>
            <w:r>
              <w:rPr>
                <w:rFonts w:ascii="Arial" w:cs="Arial" w:eastAsia="Arial" w:hAnsi="Arial"/>
                <w:sz w:val="16"/>
                <w:szCs w:val="16"/>
                <w:color w:val="auto"/>
              </w:rPr>
              <w:t>Worldwide</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32.88</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w w:val="89"/>
              </w:rPr>
              <w:t>11.63</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28.23</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9.44</w:t>
            </w:r>
          </w:p>
        </w:tc>
      </w:tr>
      <w:tr>
        <w:trPr>
          <w:trHeight w:val="216"/>
        </w:trPr>
        <w:tc>
          <w:tcPr>
            <w:tcW w:w="6120" w:type="dxa"/>
            <w:vAlign w:val="bottom"/>
            <w:gridSpan w:val="2"/>
          </w:tcPr>
          <w:p>
            <w:pPr>
              <w:ind w:left="120"/>
              <w:spacing w:after="0"/>
              <w:rPr>
                <w:sz w:val="20"/>
                <w:szCs w:val="20"/>
                <w:color w:val="auto"/>
              </w:rPr>
            </w:pPr>
            <w:r>
              <w:rPr>
                <w:rFonts w:ascii="Arial" w:cs="Arial" w:eastAsia="Arial" w:hAnsi="Arial"/>
                <w:sz w:val="16"/>
                <w:szCs w:val="16"/>
                <w:b w:val="1"/>
                <w:bCs w:val="1"/>
                <w:color w:val="auto"/>
              </w:rPr>
              <w:t>Natural Gas – Per Mcf</w:t>
            </w: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United States</w:t>
            </w: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16"/>
        </w:trPr>
        <w:tc>
          <w:tcPr>
            <w:tcW w:w="6120" w:type="dxa"/>
            <w:vAlign w:val="bottom"/>
            <w:gridSpan w:val="2"/>
          </w:tcPr>
          <w:p>
            <w:pPr>
              <w:ind w:left="460"/>
              <w:spacing w:after="0"/>
              <w:rPr>
                <w:sz w:val="20"/>
                <w:szCs w:val="20"/>
                <w:color w:val="auto"/>
              </w:rPr>
            </w:pPr>
            <w:r>
              <w:rPr>
                <w:rFonts w:ascii="Arial" w:cs="Arial" w:eastAsia="Arial" w:hAnsi="Arial"/>
                <w:sz w:val="16"/>
                <w:szCs w:val="16"/>
                <w:color w:val="auto"/>
              </w:rPr>
              <w:t>North Dakota</w:t>
            </w:r>
          </w:p>
        </w:tc>
        <w:tc>
          <w:tcPr>
            <w:tcW w:w="740" w:type="dxa"/>
            <w:vAlign w:val="bottom"/>
          </w:tcPr>
          <w:p>
            <w:pPr>
              <w:jc w:val="right"/>
              <w:ind w:right="56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rPr>
              <w:t>3.75</w:t>
            </w:r>
          </w:p>
        </w:tc>
        <w:tc>
          <w:tcPr>
            <w:tcW w:w="120" w:type="dxa"/>
            <w:vAlign w:val="bottom"/>
          </w:tcPr>
          <w:p>
            <w:pPr>
              <w:spacing w:after="0"/>
              <w:rPr>
                <w:sz w:val="18"/>
                <w:szCs w:val="18"/>
                <w:color w:val="auto"/>
              </w:rPr>
            </w:pPr>
          </w:p>
        </w:tc>
        <w:tc>
          <w:tcPr>
            <w:tcW w:w="740" w:type="dxa"/>
            <w:vAlign w:val="bottom"/>
          </w:tcPr>
          <w:p>
            <w:pPr>
              <w:jc w:val="right"/>
              <w:ind w:right="561"/>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rPr>
              <w:t>1.18</w:t>
            </w:r>
          </w:p>
        </w:tc>
        <w:tc>
          <w:tcPr>
            <w:tcW w:w="14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3.96</w:t>
            </w:r>
          </w:p>
        </w:tc>
        <w:tc>
          <w:tcPr>
            <w:tcW w:w="1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1.13</w:t>
            </w:r>
          </w:p>
        </w:tc>
      </w:tr>
      <w:tr>
        <w:trPr>
          <w:trHeight w:val="216"/>
        </w:trPr>
        <w:tc>
          <w:tcPr>
            <w:tcW w:w="6120" w:type="dxa"/>
            <w:vAlign w:val="bottom"/>
            <w:gridSpan w:val="2"/>
          </w:tcPr>
          <w:p>
            <w:pPr>
              <w:ind w:left="460"/>
              <w:spacing w:after="0"/>
              <w:rPr>
                <w:sz w:val="20"/>
                <w:szCs w:val="20"/>
                <w:color w:val="auto"/>
              </w:rPr>
            </w:pPr>
            <w:r>
              <w:rPr>
                <w:rFonts w:ascii="Arial" w:cs="Arial" w:eastAsia="Arial" w:hAnsi="Arial"/>
                <w:sz w:val="16"/>
                <w:szCs w:val="16"/>
                <w:color w:val="auto"/>
              </w:rPr>
              <w:t>Offshore</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3.76</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1.13</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2.91</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1.21</w:t>
            </w: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Total United States</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3.75</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1.17</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3.62</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1.16</w:t>
            </w: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Malaysia and JDA</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5.45</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4.53</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5.22</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4.44</w:t>
            </w:r>
          </w:p>
        </w:tc>
      </w:tr>
      <w:tr>
        <w:trPr>
          <w:trHeight w:val="216"/>
        </w:trPr>
        <w:tc>
          <w:tcPr>
            <w:tcW w:w="6120" w:type="dxa"/>
            <w:vAlign w:val="bottom"/>
            <w:gridSpan w:val="2"/>
          </w:tcPr>
          <w:p>
            <w:pPr>
              <w:ind w:left="200"/>
              <w:spacing w:after="0"/>
              <w:rPr>
                <w:sz w:val="20"/>
                <w:szCs w:val="20"/>
                <w:color w:val="auto"/>
              </w:rPr>
            </w:pPr>
            <w:r>
              <w:rPr>
                <w:rFonts w:ascii="Arial" w:cs="Arial" w:eastAsia="Arial" w:hAnsi="Arial"/>
                <w:sz w:val="16"/>
                <w:szCs w:val="16"/>
                <w:color w:val="auto"/>
              </w:rPr>
              <w:t>Other (c)</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3.62</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2.87</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3.05</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3.81</w:t>
            </w:r>
          </w:p>
        </w:tc>
      </w:tr>
      <w:tr>
        <w:trPr>
          <w:trHeight w:val="216"/>
        </w:trPr>
        <w:tc>
          <w:tcPr>
            <w:tcW w:w="6120" w:type="dxa"/>
            <w:vAlign w:val="bottom"/>
            <w:gridSpan w:val="2"/>
          </w:tcPr>
          <w:p>
            <w:pPr>
              <w:ind w:left="460"/>
              <w:spacing w:after="0"/>
              <w:rPr>
                <w:sz w:val="20"/>
                <w:szCs w:val="20"/>
                <w:color w:val="auto"/>
              </w:rPr>
            </w:pPr>
            <w:r>
              <w:rPr>
                <w:rFonts w:ascii="Arial" w:cs="Arial" w:eastAsia="Arial" w:hAnsi="Arial"/>
                <w:sz w:val="16"/>
                <w:szCs w:val="16"/>
                <w:color w:val="auto"/>
              </w:rPr>
              <w:t>Worldwide</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4.71</w:t>
            </w: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2.94</w:t>
            </w: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4.54</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2.85</w:t>
            </w:r>
          </w:p>
        </w:tc>
      </w:tr>
    </w:tbl>
    <w:p>
      <w:pPr>
        <w:spacing w:after="0" w:line="68" w:lineRule="exact"/>
        <w:rPr>
          <w:sz w:val="20"/>
          <w:szCs w:val="20"/>
          <w:color w:val="auto"/>
        </w:rPr>
      </w:pPr>
    </w:p>
    <w:p>
      <w:pPr>
        <w:jc w:val="both"/>
        <w:ind w:left="340" w:hanging="251"/>
        <w:spacing w:after="0" w:line="245" w:lineRule="auto"/>
        <w:tabs>
          <w:tab w:leader="none" w:pos="332" w:val="left"/>
        </w:tabs>
        <w:numPr>
          <w:ilvl w:val="0"/>
          <w:numId w:val="7"/>
        </w:numPr>
        <w:rPr>
          <w:rFonts w:ascii="Arial" w:cs="Arial" w:eastAsia="Arial" w:hAnsi="Arial"/>
          <w:sz w:val="14"/>
          <w:szCs w:val="14"/>
          <w:i w:val="1"/>
          <w:iCs w:val="1"/>
          <w:color w:val="auto"/>
        </w:rPr>
      </w:pPr>
      <w:r>
        <w:rPr>
          <w:rFonts w:ascii="Arial" w:cs="Arial" w:eastAsia="Arial" w:hAnsi="Arial"/>
          <w:sz w:val="14"/>
          <w:szCs w:val="14"/>
          <w:i w:val="1"/>
          <w:iCs w:val="1"/>
          <w:color w:val="auto"/>
        </w:rPr>
        <w:t>Selling prices in the United States are adjusted for certain processing and distribution fees included in Marketing expenses. Excluding these fees worldwide selling prices for the third quarter of 2021 would be $66.79 (Q3 2020: $47.42) per barrel for crude oil (including hedging), $71.50 (Q3 2020: $37.99) per barrel for crude oil (excluding hedging), $33.05 (Q3 2020: $11.82) per barrel for NGLs and $4.81 (Q3 2020: $3.08) per mcf for natural gas. Excluding these fees worldwide selling prices for the first nine months of 2021 would be $61.18 (2020: $46.62) per barrel for crude oil (including hedging), $64.89 (2020: $36.76) per barrel for crude oil (excluding hedging), $28.44 (2020: $9.63) per barrel for NGLs and $4.65 (2020: $2.97) per mcf for natural gas.</w:t>
      </w:r>
    </w:p>
    <w:p>
      <w:pPr>
        <w:ind w:left="340" w:right="20" w:hanging="251"/>
        <w:spacing w:after="0" w:line="241" w:lineRule="auto"/>
        <w:tabs>
          <w:tab w:leader="none" w:pos="332" w:val="left"/>
        </w:tabs>
        <w:numPr>
          <w:ilvl w:val="0"/>
          <w:numId w:val="7"/>
        </w:numPr>
        <w:rPr>
          <w:rFonts w:ascii="Arial" w:cs="Arial" w:eastAsia="Arial" w:hAnsi="Arial"/>
          <w:sz w:val="14"/>
          <w:szCs w:val="14"/>
          <w:i w:val="1"/>
          <w:iCs w:val="1"/>
          <w:color w:val="auto"/>
        </w:rPr>
      </w:pPr>
      <w:r>
        <w:rPr>
          <w:rFonts w:ascii="Arial" w:cs="Arial" w:eastAsia="Arial" w:hAnsi="Arial"/>
          <w:sz w:val="14"/>
          <w:szCs w:val="14"/>
          <w:i w:val="1"/>
          <w:iCs w:val="1"/>
          <w:color w:val="auto"/>
        </w:rPr>
        <w:t>Excluding the two VLCC cargo sales totaling 4.2 million barrels in the first quarter of 2021, the North Dakota crude oil price for the first nine months of 2021 excluding hedging was $59.99 per barrel and $55.29 per barrel including hedging.</w:t>
      </w:r>
    </w:p>
    <w:p>
      <w:pPr>
        <w:ind w:left="320" w:hanging="231"/>
        <w:spacing w:after="0"/>
        <w:tabs>
          <w:tab w:leader="none" w:pos="320" w:val="left"/>
        </w:tabs>
        <w:numPr>
          <w:ilvl w:val="0"/>
          <w:numId w:val="7"/>
        </w:numPr>
        <w:rPr>
          <w:rFonts w:ascii="Arial" w:cs="Arial" w:eastAsia="Arial" w:hAnsi="Arial"/>
          <w:sz w:val="14"/>
          <w:szCs w:val="14"/>
          <w:i w:val="1"/>
          <w:iCs w:val="1"/>
          <w:color w:val="auto"/>
        </w:rPr>
      </w:pPr>
      <w:r>
        <w:rPr>
          <w:rFonts w:ascii="Arial" w:cs="Arial" w:eastAsia="Arial" w:hAnsi="Arial"/>
          <w:sz w:val="14"/>
          <w:szCs w:val="14"/>
          <w:i w:val="1"/>
          <w:iCs w:val="1"/>
          <w:color w:val="auto"/>
        </w:rPr>
        <w:t>Other includes our interests in Denmark and Libya.</w:t>
      </w:r>
    </w:p>
    <w:p>
      <w:pPr>
        <w:spacing w:after="0" w:line="20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Crude oil hedging activities were a net loss of $64 million and $179 million before and after income taxes in the third quarter and first nine months of 2021, respectively, and a net gain of $143 million and $435 million before and after income taxes in the third quarter and first nine months of 2020, respectively. For the remainder of 2021, we have WTI put options with an average monthly floor price of $55 per barrel for 120,000 bopd, and Brent put options with an average monthly floor price of $60 per barrel for 30,000 bopd. We expect noncash premium amortization, which will be reflected in realized selling prices, to reduce our fourth quarter results by approximately $65 million.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3" w:name="page24"/>
    <w:bookmarkEnd w:id="23"/>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Consolidated Results of Operations (continued)</w:t>
      </w:r>
    </w:p>
    <w:p>
      <w:pPr>
        <w:spacing w:after="0" w:line="108"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For calendar 2022, we have WTI collars with an average monthly floor price of $60 per barrel and an average monthly ceiling price of $90 per barrel for 90,000 bopd and Brent collars with an average monthly floor price of $65 per barrel and an average monthly ceiling price of $95 per barrel for 60,000 bopd. Premiums paid for the 2022 WTI and Brent collars were approximately $160 million, which will be amortized ratably over 2022.</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Production Volumes: </w:t>
      </w:r>
      <w:r>
        <w:rPr>
          <w:rFonts w:ascii="Arial" w:cs="Arial" w:eastAsia="Arial" w:hAnsi="Arial"/>
          <w:sz w:val="18"/>
          <w:szCs w:val="18"/>
          <w:color w:val="auto"/>
        </w:rPr>
        <w:t>Our daily worldwide net production was as follows:</w:t>
      </w:r>
    </w:p>
    <w:p>
      <w:pPr>
        <w:spacing w:after="0" w:line="119"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5820" w:type="dxa"/>
            <w:vAlign w:val="bottom"/>
          </w:tcPr>
          <w:p>
            <w:pPr>
              <w:spacing w:after="0"/>
              <w:rPr>
                <w:sz w:val="14"/>
                <w:szCs w:val="14"/>
                <w:color w:val="auto"/>
              </w:rPr>
            </w:pPr>
          </w:p>
        </w:tc>
        <w:tc>
          <w:tcPr>
            <w:tcW w:w="2180" w:type="dxa"/>
            <w:vAlign w:val="bottom"/>
            <w:gridSpan w:val="4"/>
          </w:tcPr>
          <w:p>
            <w:pPr>
              <w:jc w:val="center"/>
              <w:ind w:left="388"/>
              <w:spacing w:after="0"/>
              <w:rPr>
                <w:sz w:val="20"/>
                <w:szCs w:val="20"/>
                <w:color w:val="auto"/>
              </w:rPr>
            </w:pPr>
            <w:r>
              <w:rPr>
                <w:rFonts w:ascii="Arial" w:cs="Arial" w:eastAsia="Arial" w:hAnsi="Arial"/>
                <w:sz w:val="14"/>
                <w:szCs w:val="14"/>
                <w:b w:val="1"/>
                <w:bCs w:val="1"/>
                <w:color w:val="auto"/>
                <w:w w:val="95"/>
              </w:rPr>
              <w:t>Three Months Ended</w:t>
            </w:r>
          </w:p>
        </w:tc>
        <w:tc>
          <w:tcPr>
            <w:tcW w:w="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200" w:type="dxa"/>
            <w:vAlign w:val="bottom"/>
            <w:gridSpan w:val="4"/>
          </w:tcPr>
          <w:p>
            <w:pPr>
              <w:jc w:val="center"/>
              <w:ind w:right="359"/>
              <w:spacing w:after="0"/>
              <w:rPr>
                <w:sz w:val="20"/>
                <w:szCs w:val="20"/>
                <w:color w:val="auto"/>
              </w:rPr>
            </w:pPr>
            <w:r>
              <w:rPr>
                <w:rFonts w:ascii="Arial" w:cs="Arial" w:eastAsia="Arial" w:hAnsi="Arial"/>
                <w:sz w:val="14"/>
                <w:szCs w:val="14"/>
                <w:b w:val="1"/>
                <w:bCs w:val="1"/>
                <w:color w:val="auto"/>
                <w:w w:val="94"/>
              </w:rPr>
              <w:t>Nine Months Ended</w:t>
            </w:r>
          </w:p>
        </w:tc>
      </w:tr>
      <w:tr>
        <w:trPr>
          <w:trHeight w:val="188"/>
        </w:trPr>
        <w:tc>
          <w:tcPr>
            <w:tcW w:w="5820" w:type="dxa"/>
            <w:vAlign w:val="bottom"/>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jc w:val="center"/>
              <w:ind w:right="268"/>
              <w:spacing w:after="0"/>
              <w:rPr>
                <w:sz w:val="20"/>
                <w:szCs w:val="20"/>
                <w:color w:val="auto"/>
              </w:rPr>
            </w:pPr>
            <w:r>
              <w:rPr>
                <w:rFonts w:ascii="Arial" w:cs="Arial" w:eastAsia="Arial" w:hAnsi="Arial"/>
                <w:sz w:val="14"/>
                <w:szCs w:val="14"/>
                <w:b w:val="1"/>
                <w:bCs w:val="1"/>
                <w:color w:val="auto"/>
                <w:w w:val="91"/>
              </w:rPr>
              <w:t>September 30,</w:t>
            </w:r>
          </w:p>
        </w:tc>
        <w:tc>
          <w:tcPr>
            <w:tcW w:w="4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3"/>
          </w:tcPr>
          <w:p>
            <w:pPr>
              <w:jc w:val="center"/>
              <w:ind w:left="320"/>
              <w:spacing w:after="0"/>
              <w:rPr>
                <w:sz w:val="20"/>
                <w:szCs w:val="20"/>
                <w:color w:val="auto"/>
              </w:rPr>
            </w:pPr>
            <w:r>
              <w:rPr>
                <w:rFonts w:ascii="Arial" w:cs="Arial" w:eastAsia="Arial" w:hAnsi="Arial"/>
                <w:sz w:val="14"/>
                <w:szCs w:val="14"/>
                <w:b w:val="1"/>
                <w:bCs w:val="1"/>
                <w:color w:val="auto"/>
                <w:w w:val="91"/>
              </w:rPr>
              <w:t>September 30,</w:t>
            </w:r>
          </w:p>
        </w:tc>
        <w:tc>
          <w:tcPr>
            <w:tcW w:w="840" w:type="dxa"/>
            <w:vAlign w:val="bottom"/>
            <w:tcBorders>
              <w:bottom w:val="single" w:sz="8" w:color="auto"/>
            </w:tcBorders>
          </w:tcPr>
          <w:p>
            <w:pPr>
              <w:spacing w:after="0"/>
              <w:rPr>
                <w:sz w:val="16"/>
                <w:szCs w:val="16"/>
                <w:color w:val="auto"/>
              </w:rPr>
            </w:pPr>
          </w:p>
        </w:tc>
      </w:tr>
      <w:tr>
        <w:trPr>
          <w:trHeight w:val="205"/>
        </w:trPr>
        <w:tc>
          <w:tcPr>
            <w:tcW w:w="5820" w:type="dxa"/>
            <w:vAlign w:val="bottom"/>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6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46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400"/>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ind w:right="419"/>
              <w:spacing w:after="0"/>
              <w:rPr>
                <w:sz w:val="20"/>
                <w:szCs w:val="20"/>
                <w:color w:val="auto"/>
              </w:rPr>
            </w:pPr>
            <w:r>
              <w:rPr>
                <w:rFonts w:ascii="Arial" w:cs="Arial" w:eastAsia="Arial" w:hAnsi="Arial"/>
                <w:sz w:val="14"/>
                <w:szCs w:val="14"/>
                <w:b w:val="1"/>
                <w:bCs w:val="1"/>
                <w:color w:val="auto"/>
              </w:rPr>
              <w:t>2020</w:t>
            </w:r>
          </w:p>
        </w:tc>
      </w:tr>
      <w:tr>
        <w:trPr>
          <w:trHeight w:val="257"/>
        </w:trPr>
        <w:tc>
          <w:tcPr>
            <w:tcW w:w="58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020" w:type="dxa"/>
            <w:vAlign w:val="bottom"/>
            <w:gridSpan w:val="3"/>
          </w:tcPr>
          <w:p>
            <w:pPr>
              <w:ind w:left="80"/>
              <w:spacing w:after="0"/>
              <w:rPr>
                <w:sz w:val="20"/>
                <w:szCs w:val="20"/>
                <w:color w:val="auto"/>
              </w:rPr>
            </w:pPr>
            <w:r>
              <w:rPr>
                <w:rFonts w:ascii="Arial" w:cs="Arial" w:eastAsia="Arial" w:hAnsi="Arial"/>
                <w:sz w:val="14"/>
                <w:szCs w:val="14"/>
                <w:b w:val="1"/>
                <w:bCs w:val="1"/>
                <w:color w:val="auto"/>
                <w:w w:val="95"/>
              </w:rPr>
              <w:t>(In thousands)</w:t>
            </w:r>
          </w:p>
        </w:tc>
        <w:tc>
          <w:tcPr>
            <w:tcW w:w="8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40" w:type="dxa"/>
            <w:vAlign w:val="bottom"/>
          </w:tcPr>
          <w:p>
            <w:pPr>
              <w:spacing w:after="0"/>
              <w:rPr>
                <w:sz w:val="22"/>
                <w:szCs w:val="22"/>
                <w:color w:val="auto"/>
              </w:rPr>
            </w:pPr>
          </w:p>
        </w:tc>
      </w:tr>
      <w:tr>
        <w:trPr>
          <w:trHeight w:val="222"/>
        </w:trPr>
        <w:tc>
          <w:tcPr>
            <w:tcW w:w="6620" w:type="dxa"/>
            <w:vAlign w:val="bottom"/>
            <w:gridSpan w:val="2"/>
          </w:tcPr>
          <w:p>
            <w:pPr>
              <w:spacing w:after="0"/>
              <w:rPr>
                <w:sz w:val="20"/>
                <w:szCs w:val="20"/>
                <w:color w:val="auto"/>
              </w:rPr>
            </w:pPr>
            <w:r>
              <w:rPr>
                <w:rFonts w:ascii="Arial" w:cs="Arial" w:eastAsia="Arial" w:hAnsi="Arial"/>
                <w:sz w:val="16"/>
                <w:szCs w:val="16"/>
                <w:b w:val="1"/>
                <w:bCs w:val="1"/>
                <w:color w:val="auto"/>
              </w:rPr>
              <w:t>Crude Oil – Barrels</w:t>
            </w:r>
          </w:p>
        </w:tc>
        <w:tc>
          <w:tcPr>
            <w:tcW w:w="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40" w:type="dxa"/>
            <w:vAlign w:val="bottom"/>
          </w:tcPr>
          <w:p>
            <w:pPr>
              <w:spacing w:after="0"/>
              <w:rPr>
                <w:sz w:val="19"/>
                <w:szCs w:val="19"/>
                <w:color w:val="auto"/>
              </w:rPr>
            </w:pPr>
          </w:p>
        </w:tc>
      </w:tr>
      <w:tr>
        <w:trPr>
          <w:trHeight w:val="216"/>
        </w:trPr>
        <w:tc>
          <w:tcPr>
            <w:tcW w:w="6620" w:type="dxa"/>
            <w:vAlign w:val="bottom"/>
            <w:gridSpan w:val="2"/>
          </w:tcPr>
          <w:p>
            <w:pPr>
              <w:ind w:left="200"/>
              <w:spacing w:after="0"/>
              <w:rPr>
                <w:sz w:val="20"/>
                <w:szCs w:val="20"/>
                <w:color w:val="auto"/>
              </w:rPr>
            </w:pPr>
            <w:r>
              <w:rPr>
                <w:rFonts w:ascii="Arial" w:cs="Arial" w:eastAsia="Arial" w:hAnsi="Arial"/>
                <w:sz w:val="16"/>
                <w:szCs w:val="16"/>
                <w:color w:val="auto"/>
              </w:rPr>
              <w:t>United States</w:t>
            </w: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16"/>
        </w:trPr>
        <w:tc>
          <w:tcPr>
            <w:tcW w:w="6620" w:type="dxa"/>
            <w:vAlign w:val="bottom"/>
            <w:gridSpan w:val="2"/>
          </w:tcPr>
          <w:p>
            <w:pPr>
              <w:ind w:left="460"/>
              <w:spacing w:after="0"/>
              <w:rPr>
                <w:sz w:val="20"/>
                <w:szCs w:val="20"/>
                <w:color w:val="auto"/>
              </w:rPr>
            </w:pPr>
            <w:r>
              <w:rPr>
                <w:rFonts w:ascii="Arial" w:cs="Arial" w:eastAsia="Arial" w:hAnsi="Arial"/>
                <w:sz w:val="16"/>
                <w:szCs w:val="16"/>
                <w:color w:val="auto"/>
              </w:rPr>
              <w:t>North Dakota</w:t>
            </w:r>
          </w:p>
        </w:tc>
        <w:tc>
          <w:tcPr>
            <w:tcW w:w="460" w:type="dxa"/>
            <w:vAlign w:val="bottom"/>
          </w:tcPr>
          <w:p>
            <w:pPr>
              <w:jc w:val="right"/>
              <w:ind w:right="119"/>
              <w:spacing w:after="0"/>
              <w:rPr>
                <w:sz w:val="20"/>
                <w:szCs w:val="20"/>
                <w:color w:val="auto"/>
              </w:rPr>
            </w:pPr>
            <w:r>
              <w:rPr>
                <w:rFonts w:ascii="Arial" w:cs="Arial" w:eastAsia="Arial" w:hAnsi="Arial"/>
                <w:sz w:val="16"/>
                <w:szCs w:val="16"/>
                <w:color w:val="auto"/>
              </w:rPr>
              <w:t>78</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jc w:val="right"/>
              <w:ind w:right="119"/>
              <w:spacing w:after="0"/>
              <w:rPr>
                <w:sz w:val="20"/>
                <w:szCs w:val="20"/>
                <w:color w:val="auto"/>
              </w:rPr>
            </w:pPr>
            <w:r>
              <w:rPr>
                <w:rFonts w:ascii="Arial" w:cs="Arial" w:eastAsia="Arial" w:hAnsi="Arial"/>
                <w:sz w:val="16"/>
                <w:szCs w:val="16"/>
                <w:color w:val="auto"/>
                <w:w w:val="89"/>
              </w:rPr>
              <w:t>108</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ind w:right="120"/>
              <w:spacing w:after="0"/>
              <w:rPr>
                <w:sz w:val="20"/>
                <w:szCs w:val="20"/>
                <w:color w:val="auto"/>
              </w:rPr>
            </w:pPr>
            <w:r>
              <w:rPr>
                <w:rFonts w:ascii="Arial" w:cs="Arial" w:eastAsia="Arial" w:hAnsi="Arial"/>
                <w:sz w:val="16"/>
                <w:szCs w:val="16"/>
                <w:color w:val="auto"/>
              </w:rPr>
              <w:t>80</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tcPr>
          <w:p>
            <w:pPr>
              <w:jc w:val="right"/>
              <w:ind w:right="119"/>
              <w:spacing w:after="0"/>
              <w:rPr>
                <w:sz w:val="20"/>
                <w:szCs w:val="20"/>
                <w:color w:val="auto"/>
              </w:rPr>
            </w:pPr>
            <w:r>
              <w:rPr>
                <w:rFonts w:ascii="Arial" w:cs="Arial" w:eastAsia="Arial" w:hAnsi="Arial"/>
                <w:sz w:val="16"/>
                <w:szCs w:val="16"/>
                <w:color w:val="auto"/>
              </w:rPr>
              <w:t>110</w:t>
            </w:r>
          </w:p>
        </w:tc>
      </w:tr>
      <w:tr>
        <w:trPr>
          <w:trHeight w:val="219"/>
        </w:trPr>
        <w:tc>
          <w:tcPr>
            <w:tcW w:w="5820" w:type="dxa"/>
            <w:vAlign w:val="bottom"/>
          </w:tcPr>
          <w:p>
            <w:pPr>
              <w:ind w:left="460"/>
              <w:spacing w:after="0"/>
              <w:rPr>
                <w:sz w:val="20"/>
                <w:szCs w:val="20"/>
                <w:color w:val="auto"/>
              </w:rPr>
            </w:pPr>
            <w:r>
              <w:rPr>
                <w:rFonts w:ascii="Arial" w:cs="Arial" w:eastAsia="Arial" w:hAnsi="Arial"/>
                <w:sz w:val="16"/>
                <w:szCs w:val="16"/>
                <w:color w:val="auto"/>
              </w:rPr>
              <w:t>Offshore</w:t>
            </w:r>
          </w:p>
        </w:tc>
        <w:tc>
          <w:tcPr>
            <w:tcW w:w="8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20</w:t>
            </w:r>
          </w:p>
        </w:tc>
        <w:tc>
          <w:tcPr>
            <w:tcW w:w="120" w:type="dxa"/>
            <w:vAlign w:val="bottom"/>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34</w:t>
            </w:r>
          </w:p>
        </w:tc>
        <w:tc>
          <w:tcPr>
            <w:tcW w:w="12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120"/>
              <w:spacing w:after="0"/>
              <w:rPr>
                <w:sz w:val="20"/>
                <w:szCs w:val="20"/>
                <w:color w:val="auto"/>
              </w:rPr>
            </w:pPr>
            <w:r>
              <w:rPr>
                <w:rFonts w:ascii="Arial" w:cs="Arial" w:eastAsia="Arial" w:hAnsi="Arial"/>
                <w:sz w:val="16"/>
                <w:szCs w:val="16"/>
                <w:color w:val="auto"/>
              </w:rPr>
              <w:t>30</w:t>
            </w:r>
          </w:p>
        </w:tc>
        <w:tc>
          <w:tcPr>
            <w:tcW w:w="12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43</w:t>
            </w:r>
          </w:p>
        </w:tc>
      </w:tr>
      <w:tr>
        <w:trPr>
          <w:trHeight w:val="209"/>
        </w:trPr>
        <w:tc>
          <w:tcPr>
            <w:tcW w:w="5820" w:type="dxa"/>
            <w:vAlign w:val="bottom"/>
          </w:tcPr>
          <w:p>
            <w:pPr>
              <w:ind w:left="200"/>
              <w:spacing w:after="0"/>
              <w:rPr>
                <w:sz w:val="20"/>
                <w:szCs w:val="20"/>
                <w:color w:val="auto"/>
              </w:rPr>
            </w:pPr>
            <w:r>
              <w:rPr>
                <w:rFonts w:ascii="Arial" w:cs="Arial" w:eastAsia="Arial" w:hAnsi="Arial"/>
                <w:sz w:val="16"/>
                <w:szCs w:val="16"/>
                <w:color w:val="auto"/>
              </w:rPr>
              <w:t>Total United States</w:t>
            </w:r>
          </w:p>
        </w:tc>
        <w:tc>
          <w:tcPr>
            <w:tcW w:w="80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98</w:t>
            </w:r>
          </w:p>
        </w:tc>
        <w:tc>
          <w:tcPr>
            <w:tcW w:w="12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142</w:t>
            </w:r>
          </w:p>
        </w:tc>
        <w:tc>
          <w:tcPr>
            <w:tcW w:w="120" w:type="dxa"/>
            <w:vAlign w:val="bottom"/>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120"/>
              <w:spacing w:after="0"/>
              <w:rPr>
                <w:sz w:val="20"/>
                <w:szCs w:val="20"/>
                <w:color w:val="auto"/>
              </w:rPr>
            </w:pPr>
            <w:r>
              <w:rPr>
                <w:rFonts w:ascii="Arial" w:cs="Arial" w:eastAsia="Arial" w:hAnsi="Arial"/>
                <w:sz w:val="16"/>
                <w:szCs w:val="16"/>
                <w:color w:val="auto"/>
              </w:rPr>
              <w:t>110</w:t>
            </w:r>
          </w:p>
        </w:tc>
        <w:tc>
          <w:tcPr>
            <w:tcW w:w="12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153</w:t>
            </w:r>
          </w:p>
        </w:tc>
      </w:tr>
      <w:tr>
        <w:trPr>
          <w:trHeight w:val="207"/>
        </w:trPr>
        <w:tc>
          <w:tcPr>
            <w:tcW w:w="6620" w:type="dxa"/>
            <w:vAlign w:val="bottom"/>
            <w:gridSpan w:val="2"/>
          </w:tcPr>
          <w:p>
            <w:pPr>
              <w:ind w:left="200"/>
              <w:spacing w:after="0"/>
              <w:rPr>
                <w:sz w:val="20"/>
                <w:szCs w:val="20"/>
                <w:color w:val="auto"/>
              </w:rPr>
            </w:pPr>
            <w:r>
              <w:rPr>
                <w:rFonts w:ascii="Arial" w:cs="Arial" w:eastAsia="Arial" w:hAnsi="Arial"/>
                <w:sz w:val="16"/>
                <w:szCs w:val="16"/>
                <w:color w:val="auto"/>
              </w:rPr>
              <w:t>Guyana</w:t>
            </w:r>
          </w:p>
        </w:tc>
        <w:tc>
          <w:tcPr>
            <w:tcW w:w="460" w:type="dxa"/>
            <w:vAlign w:val="bottom"/>
          </w:tcPr>
          <w:p>
            <w:pPr>
              <w:jc w:val="right"/>
              <w:ind w:right="119"/>
              <w:spacing w:after="0"/>
              <w:rPr>
                <w:sz w:val="20"/>
                <w:szCs w:val="20"/>
                <w:color w:val="auto"/>
              </w:rPr>
            </w:pPr>
            <w:r>
              <w:rPr>
                <w:rFonts w:ascii="Arial" w:cs="Arial" w:eastAsia="Arial" w:hAnsi="Arial"/>
                <w:sz w:val="16"/>
                <w:szCs w:val="16"/>
                <w:color w:val="auto"/>
              </w:rPr>
              <w:t>32</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60" w:type="dxa"/>
            <w:vAlign w:val="bottom"/>
          </w:tcPr>
          <w:p>
            <w:pPr>
              <w:jc w:val="right"/>
              <w:ind w:right="119"/>
              <w:spacing w:after="0"/>
              <w:rPr>
                <w:sz w:val="20"/>
                <w:szCs w:val="20"/>
                <w:color w:val="auto"/>
              </w:rPr>
            </w:pPr>
            <w:r>
              <w:rPr>
                <w:rFonts w:ascii="Arial" w:cs="Arial" w:eastAsia="Arial" w:hAnsi="Arial"/>
                <w:sz w:val="16"/>
                <w:szCs w:val="16"/>
                <w:color w:val="auto"/>
              </w:rPr>
              <w:t>19</w:t>
            </w:r>
          </w:p>
        </w:tc>
        <w:tc>
          <w:tcPr>
            <w:tcW w:w="1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20" w:type="dxa"/>
            <w:vAlign w:val="bottom"/>
          </w:tcPr>
          <w:p>
            <w:pPr>
              <w:jc w:val="right"/>
              <w:ind w:right="120"/>
              <w:spacing w:after="0"/>
              <w:rPr>
                <w:sz w:val="20"/>
                <w:szCs w:val="20"/>
                <w:color w:val="auto"/>
              </w:rPr>
            </w:pPr>
            <w:r>
              <w:rPr>
                <w:rFonts w:ascii="Arial" w:cs="Arial" w:eastAsia="Arial" w:hAnsi="Arial"/>
                <w:sz w:val="16"/>
                <w:szCs w:val="16"/>
                <w:color w:val="auto"/>
              </w:rPr>
              <w:t>30</w:t>
            </w: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40" w:type="dxa"/>
            <w:vAlign w:val="bottom"/>
          </w:tcPr>
          <w:p>
            <w:pPr>
              <w:jc w:val="right"/>
              <w:ind w:right="119"/>
              <w:spacing w:after="0"/>
              <w:rPr>
                <w:sz w:val="20"/>
                <w:szCs w:val="20"/>
                <w:color w:val="auto"/>
              </w:rPr>
            </w:pPr>
            <w:r>
              <w:rPr>
                <w:rFonts w:ascii="Arial" w:cs="Arial" w:eastAsia="Arial" w:hAnsi="Arial"/>
                <w:sz w:val="16"/>
                <w:szCs w:val="16"/>
                <w:color w:val="auto"/>
              </w:rPr>
              <w:t>19</w:t>
            </w:r>
          </w:p>
        </w:tc>
      </w:tr>
      <w:tr>
        <w:trPr>
          <w:trHeight w:val="216"/>
        </w:trPr>
        <w:tc>
          <w:tcPr>
            <w:tcW w:w="6620" w:type="dxa"/>
            <w:vAlign w:val="bottom"/>
            <w:gridSpan w:val="2"/>
          </w:tcPr>
          <w:p>
            <w:pPr>
              <w:ind w:left="200"/>
              <w:spacing w:after="0"/>
              <w:rPr>
                <w:sz w:val="20"/>
                <w:szCs w:val="20"/>
                <w:color w:val="auto"/>
              </w:rPr>
            </w:pPr>
            <w:r>
              <w:rPr>
                <w:rFonts w:ascii="Arial" w:cs="Arial" w:eastAsia="Arial" w:hAnsi="Arial"/>
                <w:sz w:val="16"/>
                <w:szCs w:val="16"/>
                <w:color w:val="auto"/>
              </w:rPr>
              <w:t>Malaysia and JDA</w:t>
            </w:r>
          </w:p>
        </w:tc>
        <w:tc>
          <w:tcPr>
            <w:tcW w:w="460" w:type="dxa"/>
            <w:vAlign w:val="bottom"/>
          </w:tcPr>
          <w:p>
            <w:pPr>
              <w:jc w:val="right"/>
              <w:ind w:right="119"/>
              <w:spacing w:after="0"/>
              <w:rPr>
                <w:sz w:val="20"/>
                <w:szCs w:val="20"/>
                <w:color w:val="auto"/>
              </w:rPr>
            </w:pPr>
            <w:r>
              <w:rPr>
                <w:rFonts w:ascii="Arial" w:cs="Arial" w:eastAsia="Arial" w:hAnsi="Arial"/>
                <w:sz w:val="16"/>
                <w:szCs w:val="16"/>
                <w:color w:val="auto"/>
              </w:rPr>
              <w:t>3</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jc w:val="right"/>
              <w:ind w:right="119"/>
              <w:spacing w:after="0"/>
              <w:rPr>
                <w:sz w:val="20"/>
                <w:szCs w:val="20"/>
                <w:color w:val="auto"/>
              </w:rPr>
            </w:pPr>
            <w:r>
              <w:rPr>
                <w:rFonts w:ascii="Arial" w:cs="Arial" w:eastAsia="Arial" w:hAnsi="Arial"/>
                <w:sz w:val="16"/>
                <w:szCs w:val="16"/>
                <w:color w:val="auto"/>
              </w:rPr>
              <w:t>3</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ind w:right="120"/>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tcPr>
          <w:p>
            <w:pPr>
              <w:jc w:val="right"/>
              <w:ind w:right="119"/>
              <w:spacing w:after="0"/>
              <w:rPr>
                <w:sz w:val="20"/>
                <w:szCs w:val="20"/>
                <w:color w:val="auto"/>
              </w:rPr>
            </w:pPr>
            <w:r>
              <w:rPr>
                <w:rFonts w:ascii="Arial" w:cs="Arial" w:eastAsia="Arial" w:hAnsi="Arial"/>
                <w:sz w:val="16"/>
                <w:szCs w:val="16"/>
                <w:color w:val="auto"/>
              </w:rPr>
              <w:t>3</w:t>
            </w:r>
          </w:p>
        </w:tc>
      </w:tr>
      <w:tr>
        <w:trPr>
          <w:trHeight w:val="219"/>
        </w:trPr>
        <w:tc>
          <w:tcPr>
            <w:tcW w:w="5820" w:type="dxa"/>
            <w:vAlign w:val="bottom"/>
          </w:tcPr>
          <w:p>
            <w:pPr>
              <w:ind w:left="200"/>
              <w:spacing w:after="0"/>
              <w:rPr>
                <w:sz w:val="20"/>
                <w:szCs w:val="20"/>
                <w:color w:val="auto"/>
              </w:rPr>
            </w:pPr>
            <w:r>
              <w:rPr>
                <w:rFonts w:ascii="Arial" w:cs="Arial" w:eastAsia="Arial" w:hAnsi="Arial"/>
                <w:sz w:val="16"/>
                <w:szCs w:val="16"/>
                <w:color w:val="auto"/>
              </w:rPr>
              <w:t>Other (a)</w:t>
            </w:r>
          </w:p>
        </w:tc>
        <w:tc>
          <w:tcPr>
            <w:tcW w:w="8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20</w:t>
            </w:r>
          </w:p>
        </w:tc>
        <w:tc>
          <w:tcPr>
            <w:tcW w:w="120" w:type="dxa"/>
            <w:vAlign w:val="bottom"/>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120"/>
              <w:spacing w:after="0"/>
              <w:rPr>
                <w:sz w:val="20"/>
                <w:szCs w:val="20"/>
                <w:color w:val="auto"/>
              </w:rPr>
            </w:pPr>
            <w:r>
              <w:rPr>
                <w:rFonts w:ascii="Arial" w:cs="Arial" w:eastAsia="Arial" w:hAnsi="Arial"/>
                <w:sz w:val="16"/>
                <w:szCs w:val="16"/>
                <w:color w:val="auto"/>
              </w:rPr>
              <w:t>22</w:t>
            </w:r>
          </w:p>
        </w:tc>
        <w:tc>
          <w:tcPr>
            <w:tcW w:w="12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7</w:t>
            </w:r>
          </w:p>
        </w:tc>
      </w:tr>
      <w:tr>
        <w:trPr>
          <w:trHeight w:val="209"/>
        </w:trPr>
        <w:tc>
          <w:tcPr>
            <w:tcW w:w="6620" w:type="dxa"/>
            <w:vAlign w:val="bottom"/>
            <w:gridSpan w:val="2"/>
          </w:tcPr>
          <w:p>
            <w:pPr>
              <w:ind w:left="460"/>
              <w:spacing w:after="0"/>
              <w:rPr>
                <w:sz w:val="20"/>
                <w:szCs w:val="20"/>
                <w:color w:val="auto"/>
              </w:rPr>
            </w:pPr>
            <w:r>
              <w:rPr>
                <w:rFonts w:ascii="Arial" w:cs="Arial" w:eastAsia="Arial" w:hAnsi="Arial"/>
                <w:sz w:val="16"/>
                <w:szCs w:val="16"/>
                <w:color w:val="auto"/>
              </w:rPr>
              <w:t>Total</w:t>
            </w:r>
          </w:p>
        </w:tc>
        <w:tc>
          <w:tcPr>
            <w:tcW w:w="460" w:type="dxa"/>
            <w:vAlign w:val="bottom"/>
          </w:tcPr>
          <w:p>
            <w:pPr>
              <w:jc w:val="right"/>
              <w:ind w:right="119"/>
              <w:spacing w:after="0"/>
              <w:rPr>
                <w:sz w:val="20"/>
                <w:szCs w:val="20"/>
                <w:color w:val="auto"/>
              </w:rPr>
            </w:pPr>
            <w:r>
              <w:rPr>
                <w:rFonts w:ascii="Arial" w:cs="Arial" w:eastAsia="Arial" w:hAnsi="Arial"/>
                <w:sz w:val="16"/>
                <w:szCs w:val="16"/>
                <w:color w:val="auto"/>
                <w:w w:val="89"/>
              </w:rPr>
              <w:t>153</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jc w:val="right"/>
              <w:ind w:right="119"/>
              <w:spacing w:after="0"/>
              <w:rPr>
                <w:sz w:val="20"/>
                <w:szCs w:val="20"/>
                <w:color w:val="auto"/>
              </w:rPr>
            </w:pPr>
            <w:r>
              <w:rPr>
                <w:rFonts w:ascii="Arial" w:cs="Arial" w:eastAsia="Arial" w:hAnsi="Arial"/>
                <w:sz w:val="16"/>
                <w:szCs w:val="16"/>
                <w:color w:val="auto"/>
                <w:w w:val="89"/>
              </w:rPr>
              <w:t>168</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ind w:right="120"/>
              <w:spacing w:after="0"/>
              <w:rPr>
                <w:sz w:val="20"/>
                <w:szCs w:val="20"/>
                <w:color w:val="auto"/>
              </w:rPr>
            </w:pPr>
            <w:r>
              <w:rPr>
                <w:rFonts w:ascii="Arial" w:cs="Arial" w:eastAsia="Arial" w:hAnsi="Arial"/>
                <w:sz w:val="16"/>
                <w:szCs w:val="16"/>
                <w:color w:val="auto"/>
              </w:rPr>
              <w:t>166</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tcPr>
          <w:p>
            <w:pPr>
              <w:jc w:val="right"/>
              <w:ind w:right="119"/>
              <w:spacing w:after="0"/>
              <w:rPr>
                <w:sz w:val="20"/>
                <w:szCs w:val="20"/>
                <w:color w:val="auto"/>
              </w:rPr>
            </w:pPr>
            <w:r>
              <w:rPr>
                <w:rFonts w:ascii="Arial" w:cs="Arial" w:eastAsia="Arial" w:hAnsi="Arial"/>
                <w:sz w:val="16"/>
                <w:szCs w:val="16"/>
                <w:color w:val="auto"/>
              </w:rPr>
              <w:t>182</w:t>
            </w:r>
          </w:p>
        </w:tc>
      </w:tr>
      <w:tr>
        <w:trPr>
          <w:trHeight w:val="207"/>
        </w:trPr>
        <w:tc>
          <w:tcPr>
            <w:tcW w:w="5820" w:type="dxa"/>
            <w:vAlign w:val="bottom"/>
          </w:tcPr>
          <w:p>
            <w:pPr>
              <w:spacing w:after="0"/>
              <w:rPr>
                <w:sz w:val="20"/>
                <w:szCs w:val="20"/>
                <w:color w:val="auto"/>
              </w:rPr>
            </w:pPr>
            <w:r>
              <w:rPr>
                <w:rFonts w:ascii="Arial" w:cs="Arial" w:eastAsia="Arial" w:hAnsi="Arial"/>
                <w:sz w:val="16"/>
                <w:szCs w:val="16"/>
                <w:b w:val="1"/>
                <w:bCs w:val="1"/>
                <w:color w:val="auto"/>
              </w:rPr>
              <w:t>Natural Gas Liquids – Barrels</w:t>
            </w:r>
          </w:p>
        </w:tc>
        <w:tc>
          <w:tcPr>
            <w:tcW w:w="800" w:type="dxa"/>
            <w:vAlign w:val="bottom"/>
            <w:tcBorders>
              <w:top w:val="single" w:sz="8" w:color="auto"/>
            </w:tcBorders>
          </w:tcPr>
          <w:p>
            <w:pPr>
              <w:spacing w:after="0"/>
              <w:rPr>
                <w:sz w:val="17"/>
                <w:szCs w:val="17"/>
                <w:color w:val="auto"/>
              </w:rPr>
            </w:pPr>
          </w:p>
        </w:tc>
        <w:tc>
          <w:tcPr>
            <w:tcW w:w="4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4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44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r>
      <w:tr>
        <w:trPr>
          <w:trHeight w:val="216"/>
        </w:trPr>
        <w:tc>
          <w:tcPr>
            <w:tcW w:w="6620" w:type="dxa"/>
            <w:vAlign w:val="bottom"/>
            <w:gridSpan w:val="2"/>
          </w:tcPr>
          <w:p>
            <w:pPr>
              <w:ind w:left="200"/>
              <w:spacing w:after="0"/>
              <w:rPr>
                <w:sz w:val="20"/>
                <w:szCs w:val="20"/>
                <w:color w:val="auto"/>
              </w:rPr>
            </w:pPr>
            <w:r>
              <w:rPr>
                <w:rFonts w:ascii="Arial" w:cs="Arial" w:eastAsia="Arial" w:hAnsi="Arial"/>
                <w:sz w:val="16"/>
                <w:szCs w:val="16"/>
                <w:color w:val="auto"/>
              </w:rPr>
              <w:t>United States</w:t>
            </w: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16"/>
        </w:trPr>
        <w:tc>
          <w:tcPr>
            <w:tcW w:w="6620" w:type="dxa"/>
            <w:vAlign w:val="bottom"/>
            <w:gridSpan w:val="2"/>
          </w:tcPr>
          <w:p>
            <w:pPr>
              <w:ind w:left="460"/>
              <w:spacing w:after="0"/>
              <w:rPr>
                <w:sz w:val="20"/>
                <w:szCs w:val="20"/>
                <w:color w:val="auto"/>
              </w:rPr>
            </w:pPr>
            <w:r>
              <w:rPr>
                <w:rFonts w:ascii="Arial" w:cs="Arial" w:eastAsia="Arial" w:hAnsi="Arial"/>
                <w:sz w:val="16"/>
                <w:szCs w:val="16"/>
                <w:color w:val="auto"/>
              </w:rPr>
              <w:t>North Dakota</w:t>
            </w:r>
          </w:p>
        </w:tc>
        <w:tc>
          <w:tcPr>
            <w:tcW w:w="460" w:type="dxa"/>
            <w:vAlign w:val="bottom"/>
          </w:tcPr>
          <w:p>
            <w:pPr>
              <w:jc w:val="right"/>
              <w:ind w:right="119"/>
              <w:spacing w:after="0"/>
              <w:rPr>
                <w:sz w:val="20"/>
                <w:szCs w:val="20"/>
                <w:color w:val="auto"/>
              </w:rPr>
            </w:pPr>
            <w:r>
              <w:rPr>
                <w:rFonts w:ascii="Arial" w:cs="Arial" w:eastAsia="Arial" w:hAnsi="Arial"/>
                <w:sz w:val="16"/>
                <w:szCs w:val="16"/>
                <w:color w:val="auto"/>
              </w:rPr>
              <w:t>44</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jc w:val="right"/>
              <w:ind w:right="119"/>
              <w:spacing w:after="0"/>
              <w:rPr>
                <w:sz w:val="20"/>
                <w:szCs w:val="20"/>
                <w:color w:val="auto"/>
              </w:rPr>
            </w:pPr>
            <w:r>
              <w:rPr>
                <w:rFonts w:ascii="Arial" w:cs="Arial" w:eastAsia="Arial" w:hAnsi="Arial"/>
                <w:sz w:val="16"/>
                <w:szCs w:val="16"/>
                <w:color w:val="auto"/>
              </w:rPr>
              <w:t>58</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ind w:right="120"/>
              <w:spacing w:after="0"/>
              <w:rPr>
                <w:sz w:val="20"/>
                <w:szCs w:val="20"/>
                <w:color w:val="auto"/>
              </w:rPr>
            </w:pPr>
            <w:r>
              <w:rPr>
                <w:rFonts w:ascii="Arial" w:cs="Arial" w:eastAsia="Arial" w:hAnsi="Arial"/>
                <w:sz w:val="16"/>
                <w:szCs w:val="16"/>
                <w:color w:val="auto"/>
              </w:rPr>
              <w:t>48</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tcPr>
          <w:p>
            <w:pPr>
              <w:jc w:val="right"/>
              <w:ind w:right="119"/>
              <w:spacing w:after="0"/>
              <w:rPr>
                <w:sz w:val="20"/>
                <w:szCs w:val="20"/>
                <w:color w:val="auto"/>
              </w:rPr>
            </w:pPr>
            <w:r>
              <w:rPr>
                <w:rFonts w:ascii="Arial" w:cs="Arial" w:eastAsia="Arial" w:hAnsi="Arial"/>
                <w:sz w:val="16"/>
                <w:szCs w:val="16"/>
                <w:color w:val="auto"/>
              </w:rPr>
              <w:t>54</w:t>
            </w:r>
          </w:p>
        </w:tc>
      </w:tr>
      <w:tr>
        <w:trPr>
          <w:trHeight w:val="219"/>
        </w:trPr>
        <w:tc>
          <w:tcPr>
            <w:tcW w:w="5820" w:type="dxa"/>
            <w:vAlign w:val="bottom"/>
          </w:tcPr>
          <w:p>
            <w:pPr>
              <w:ind w:left="460"/>
              <w:spacing w:after="0"/>
              <w:rPr>
                <w:sz w:val="20"/>
                <w:szCs w:val="20"/>
                <w:color w:val="auto"/>
              </w:rPr>
            </w:pPr>
            <w:r>
              <w:rPr>
                <w:rFonts w:ascii="Arial" w:cs="Arial" w:eastAsia="Arial" w:hAnsi="Arial"/>
                <w:sz w:val="16"/>
                <w:szCs w:val="16"/>
                <w:color w:val="auto"/>
              </w:rPr>
              <w:t>Offshore</w:t>
            </w:r>
          </w:p>
        </w:tc>
        <w:tc>
          <w:tcPr>
            <w:tcW w:w="8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3</w:t>
            </w:r>
          </w:p>
        </w:tc>
        <w:tc>
          <w:tcPr>
            <w:tcW w:w="120" w:type="dxa"/>
            <w:vAlign w:val="bottom"/>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5</w:t>
            </w:r>
          </w:p>
        </w:tc>
        <w:tc>
          <w:tcPr>
            <w:tcW w:w="12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120"/>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6</w:t>
            </w:r>
          </w:p>
        </w:tc>
      </w:tr>
      <w:tr>
        <w:trPr>
          <w:trHeight w:val="210"/>
        </w:trPr>
        <w:tc>
          <w:tcPr>
            <w:tcW w:w="6620" w:type="dxa"/>
            <w:vAlign w:val="bottom"/>
            <w:gridSpan w:val="2"/>
          </w:tcPr>
          <w:p>
            <w:pPr>
              <w:ind w:left="200"/>
              <w:spacing w:after="0"/>
              <w:rPr>
                <w:sz w:val="20"/>
                <w:szCs w:val="20"/>
                <w:color w:val="auto"/>
              </w:rPr>
            </w:pPr>
            <w:r>
              <w:rPr>
                <w:rFonts w:ascii="Arial" w:cs="Arial" w:eastAsia="Arial" w:hAnsi="Arial"/>
                <w:sz w:val="16"/>
                <w:szCs w:val="16"/>
                <w:color w:val="auto"/>
              </w:rPr>
              <w:t>Total United States</w:t>
            </w:r>
          </w:p>
        </w:tc>
        <w:tc>
          <w:tcPr>
            <w:tcW w:w="460" w:type="dxa"/>
            <w:vAlign w:val="bottom"/>
          </w:tcPr>
          <w:p>
            <w:pPr>
              <w:jc w:val="right"/>
              <w:ind w:right="119"/>
              <w:spacing w:after="0"/>
              <w:rPr>
                <w:sz w:val="20"/>
                <w:szCs w:val="20"/>
                <w:color w:val="auto"/>
              </w:rPr>
            </w:pPr>
            <w:r>
              <w:rPr>
                <w:rFonts w:ascii="Arial" w:cs="Arial" w:eastAsia="Arial" w:hAnsi="Arial"/>
                <w:sz w:val="16"/>
                <w:szCs w:val="16"/>
                <w:color w:val="auto"/>
              </w:rPr>
              <w:t>47</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jc w:val="right"/>
              <w:ind w:right="119"/>
              <w:spacing w:after="0"/>
              <w:rPr>
                <w:sz w:val="20"/>
                <w:szCs w:val="20"/>
                <w:color w:val="auto"/>
              </w:rPr>
            </w:pPr>
            <w:r>
              <w:rPr>
                <w:rFonts w:ascii="Arial" w:cs="Arial" w:eastAsia="Arial" w:hAnsi="Arial"/>
                <w:sz w:val="16"/>
                <w:szCs w:val="16"/>
                <w:color w:val="auto"/>
              </w:rPr>
              <w:t>63</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ind w:right="120"/>
              <w:spacing w:after="0"/>
              <w:rPr>
                <w:sz w:val="20"/>
                <w:szCs w:val="20"/>
                <w:color w:val="auto"/>
              </w:rPr>
            </w:pPr>
            <w:r>
              <w:rPr>
                <w:rFonts w:ascii="Arial" w:cs="Arial" w:eastAsia="Arial" w:hAnsi="Arial"/>
                <w:sz w:val="16"/>
                <w:szCs w:val="16"/>
                <w:color w:val="auto"/>
              </w:rPr>
              <w:t>52</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tcPr>
          <w:p>
            <w:pPr>
              <w:jc w:val="right"/>
              <w:ind w:right="119"/>
              <w:spacing w:after="0"/>
              <w:rPr>
                <w:sz w:val="20"/>
                <w:szCs w:val="20"/>
                <w:color w:val="auto"/>
              </w:rPr>
            </w:pPr>
            <w:r>
              <w:rPr>
                <w:rFonts w:ascii="Arial" w:cs="Arial" w:eastAsia="Arial" w:hAnsi="Arial"/>
                <w:sz w:val="16"/>
                <w:szCs w:val="16"/>
                <w:color w:val="auto"/>
              </w:rPr>
              <w:t>60</w:t>
            </w:r>
          </w:p>
        </w:tc>
      </w:tr>
      <w:tr>
        <w:trPr>
          <w:trHeight w:val="206"/>
        </w:trPr>
        <w:tc>
          <w:tcPr>
            <w:tcW w:w="5820" w:type="dxa"/>
            <w:vAlign w:val="bottom"/>
          </w:tcPr>
          <w:p>
            <w:pPr>
              <w:spacing w:after="0"/>
              <w:rPr>
                <w:sz w:val="20"/>
                <w:szCs w:val="20"/>
                <w:color w:val="auto"/>
              </w:rPr>
            </w:pPr>
            <w:r>
              <w:rPr>
                <w:rFonts w:ascii="Arial" w:cs="Arial" w:eastAsia="Arial" w:hAnsi="Arial"/>
                <w:sz w:val="16"/>
                <w:szCs w:val="16"/>
                <w:b w:val="1"/>
                <w:bCs w:val="1"/>
                <w:color w:val="auto"/>
              </w:rPr>
              <w:t>Natural Gas – Mcf</w:t>
            </w:r>
          </w:p>
        </w:tc>
        <w:tc>
          <w:tcPr>
            <w:tcW w:w="800" w:type="dxa"/>
            <w:vAlign w:val="bottom"/>
            <w:tcBorders>
              <w:top w:val="single" w:sz="8" w:color="auto"/>
            </w:tcBorders>
          </w:tcPr>
          <w:p>
            <w:pPr>
              <w:spacing w:after="0"/>
              <w:rPr>
                <w:sz w:val="17"/>
                <w:szCs w:val="17"/>
                <w:color w:val="auto"/>
              </w:rPr>
            </w:pPr>
          </w:p>
        </w:tc>
        <w:tc>
          <w:tcPr>
            <w:tcW w:w="4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46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44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r>
      <w:tr>
        <w:trPr>
          <w:trHeight w:val="216"/>
        </w:trPr>
        <w:tc>
          <w:tcPr>
            <w:tcW w:w="6620" w:type="dxa"/>
            <w:vAlign w:val="bottom"/>
            <w:gridSpan w:val="2"/>
          </w:tcPr>
          <w:p>
            <w:pPr>
              <w:ind w:left="200"/>
              <w:spacing w:after="0"/>
              <w:rPr>
                <w:sz w:val="20"/>
                <w:szCs w:val="20"/>
                <w:color w:val="auto"/>
              </w:rPr>
            </w:pPr>
            <w:r>
              <w:rPr>
                <w:rFonts w:ascii="Arial" w:cs="Arial" w:eastAsia="Arial" w:hAnsi="Arial"/>
                <w:sz w:val="16"/>
                <w:szCs w:val="16"/>
                <w:color w:val="auto"/>
              </w:rPr>
              <w:t>United States</w:t>
            </w: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216"/>
        </w:trPr>
        <w:tc>
          <w:tcPr>
            <w:tcW w:w="6620" w:type="dxa"/>
            <w:vAlign w:val="bottom"/>
            <w:gridSpan w:val="2"/>
          </w:tcPr>
          <w:p>
            <w:pPr>
              <w:ind w:left="460"/>
              <w:spacing w:after="0"/>
              <w:rPr>
                <w:sz w:val="20"/>
                <w:szCs w:val="20"/>
                <w:color w:val="auto"/>
              </w:rPr>
            </w:pPr>
            <w:r>
              <w:rPr>
                <w:rFonts w:ascii="Arial" w:cs="Arial" w:eastAsia="Arial" w:hAnsi="Arial"/>
                <w:sz w:val="16"/>
                <w:szCs w:val="16"/>
                <w:color w:val="auto"/>
              </w:rPr>
              <w:t>North Dakota</w:t>
            </w:r>
          </w:p>
        </w:tc>
        <w:tc>
          <w:tcPr>
            <w:tcW w:w="460" w:type="dxa"/>
            <w:vAlign w:val="bottom"/>
          </w:tcPr>
          <w:p>
            <w:pPr>
              <w:jc w:val="right"/>
              <w:ind w:right="119"/>
              <w:spacing w:after="0"/>
              <w:rPr>
                <w:sz w:val="20"/>
                <w:szCs w:val="20"/>
                <w:color w:val="auto"/>
              </w:rPr>
            </w:pPr>
            <w:r>
              <w:rPr>
                <w:rFonts w:ascii="Arial" w:cs="Arial" w:eastAsia="Arial" w:hAnsi="Arial"/>
                <w:sz w:val="16"/>
                <w:szCs w:val="16"/>
                <w:color w:val="auto"/>
                <w:w w:val="89"/>
              </w:rPr>
              <w:t>158</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jc w:val="right"/>
              <w:ind w:right="119"/>
              <w:spacing w:after="0"/>
              <w:rPr>
                <w:sz w:val="20"/>
                <w:szCs w:val="20"/>
                <w:color w:val="auto"/>
              </w:rPr>
            </w:pPr>
            <w:r>
              <w:rPr>
                <w:rFonts w:ascii="Arial" w:cs="Arial" w:eastAsia="Arial" w:hAnsi="Arial"/>
                <w:sz w:val="16"/>
                <w:szCs w:val="16"/>
                <w:color w:val="auto"/>
                <w:w w:val="89"/>
              </w:rPr>
              <w:t>194</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ind w:right="120"/>
              <w:spacing w:after="0"/>
              <w:rPr>
                <w:sz w:val="20"/>
                <w:szCs w:val="20"/>
                <w:color w:val="auto"/>
              </w:rPr>
            </w:pPr>
            <w:r>
              <w:rPr>
                <w:rFonts w:ascii="Arial" w:cs="Arial" w:eastAsia="Arial" w:hAnsi="Arial"/>
                <w:sz w:val="16"/>
                <w:szCs w:val="16"/>
                <w:color w:val="auto"/>
              </w:rPr>
              <w:t>159</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tcPr>
          <w:p>
            <w:pPr>
              <w:jc w:val="right"/>
              <w:ind w:right="119"/>
              <w:spacing w:after="0"/>
              <w:rPr>
                <w:sz w:val="20"/>
                <w:szCs w:val="20"/>
                <w:color w:val="auto"/>
              </w:rPr>
            </w:pPr>
            <w:r>
              <w:rPr>
                <w:rFonts w:ascii="Arial" w:cs="Arial" w:eastAsia="Arial" w:hAnsi="Arial"/>
                <w:sz w:val="16"/>
                <w:szCs w:val="16"/>
                <w:color w:val="auto"/>
              </w:rPr>
              <w:t>178</w:t>
            </w:r>
          </w:p>
        </w:tc>
      </w:tr>
      <w:tr>
        <w:trPr>
          <w:trHeight w:val="219"/>
        </w:trPr>
        <w:tc>
          <w:tcPr>
            <w:tcW w:w="5820" w:type="dxa"/>
            <w:vAlign w:val="bottom"/>
          </w:tcPr>
          <w:p>
            <w:pPr>
              <w:ind w:left="460"/>
              <w:spacing w:after="0"/>
              <w:rPr>
                <w:sz w:val="20"/>
                <w:szCs w:val="20"/>
                <w:color w:val="auto"/>
              </w:rPr>
            </w:pPr>
            <w:r>
              <w:rPr>
                <w:rFonts w:ascii="Arial" w:cs="Arial" w:eastAsia="Arial" w:hAnsi="Arial"/>
                <w:sz w:val="16"/>
                <w:szCs w:val="16"/>
                <w:color w:val="auto"/>
              </w:rPr>
              <w:t>Offshore</w:t>
            </w:r>
          </w:p>
        </w:tc>
        <w:tc>
          <w:tcPr>
            <w:tcW w:w="8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52</w:t>
            </w:r>
          </w:p>
        </w:tc>
        <w:tc>
          <w:tcPr>
            <w:tcW w:w="120" w:type="dxa"/>
            <w:vAlign w:val="bottom"/>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60</w:t>
            </w:r>
          </w:p>
        </w:tc>
        <w:tc>
          <w:tcPr>
            <w:tcW w:w="12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120"/>
              <w:spacing w:after="0"/>
              <w:rPr>
                <w:sz w:val="20"/>
                <w:szCs w:val="20"/>
                <w:color w:val="auto"/>
              </w:rPr>
            </w:pPr>
            <w:r>
              <w:rPr>
                <w:rFonts w:ascii="Arial" w:cs="Arial" w:eastAsia="Arial" w:hAnsi="Arial"/>
                <w:sz w:val="16"/>
                <w:szCs w:val="16"/>
                <w:color w:val="auto"/>
              </w:rPr>
              <w:t>77</w:t>
            </w:r>
          </w:p>
        </w:tc>
        <w:tc>
          <w:tcPr>
            <w:tcW w:w="12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91</w:t>
            </w:r>
          </w:p>
        </w:tc>
      </w:tr>
      <w:tr>
        <w:trPr>
          <w:trHeight w:val="209"/>
        </w:trPr>
        <w:tc>
          <w:tcPr>
            <w:tcW w:w="5820" w:type="dxa"/>
            <w:vAlign w:val="bottom"/>
          </w:tcPr>
          <w:p>
            <w:pPr>
              <w:ind w:left="200"/>
              <w:spacing w:after="0"/>
              <w:rPr>
                <w:sz w:val="20"/>
                <w:szCs w:val="20"/>
                <w:color w:val="auto"/>
              </w:rPr>
            </w:pPr>
            <w:r>
              <w:rPr>
                <w:rFonts w:ascii="Arial" w:cs="Arial" w:eastAsia="Arial" w:hAnsi="Arial"/>
                <w:sz w:val="16"/>
                <w:szCs w:val="16"/>
                <w:color w:val="auto"/>
              </w:rPr>
              <w:t>Total United States</w:t>
            </w:r>
          </w:p>
        </w:tc>
        <w:tc>
          <w:tcPr>
            <w:tcW w:w="80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210</w:t>
            </w:r>
          </w:p>
        </w:tc>
        <w:tc>
          <w:tcPr>
            <w:tcW w:w="12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254</w:t>
            </w:r>
          </w:p>
        </w:tc>
        <w:tc>
          <w:tcPr>
            <w:tcW w:w="120" w:type="dxa"/>
            <w:vAlign w:val="bottom"/>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120"/>
              <w:spacing w:after="0"/>
              <w:rPr>
                <w:sz w:val="20"/>
                <w:szCs w:val="20"/>
                <w:color w:val="auto"/>
              </w:rPr>
            </w:pPr>
            <w:r>
              <w:rPr>
                <w:rFonts w:ascii="Arial" w:cs="Arial" w:eastAsia="Arial" w:hAnsi="Arial"/>
                <w:sz w:val="16"/>
                <w:szCs w:val="16"/>
                <w:color w:val="auto"/>
              </w:rPr>
              <w:t>236</w:t>
            </w:r>
          </w:p>
        </w:tc>
        <w:tc>
          <w:tcPr>
            <w:tcW w:w="12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269</w:t>
            </w:r>
          </w:p>
        </w:tc>
      </w:tr>
      <w:tr>
        <w:trPr>
          <w:trHeight w:val="207"/>
        </w:trPr>
        <w:tc>
          <w:tcPr>
            <w:tcW w:w="6620" w:type="dxa"/>
            <w:vAlign w:val="bottom"/>
            <w:gridSpan w:val="2"/>
          </w:tcPr>
          <w:p>
            <w:pPr>
              <w:ind w:left="200"/>
              <w:spacing w:after="0"/>
              <w:rPr>
                <w:sz w:val="20"/>
                <w:szCs w:val="20"/>
                <w:color w:val="auto"/>
              </w:rPr>
            </w:pPr>
            <w:r>
              <w:rPr>
                <w:rFonts w:ascii="Arial" w:cs="Arial" w:eastAsia="Arial" w:hAnsi="Arial"/>
                <w:sz w:val="16"/>
                <w:szCs w:val="16"/>
                <w:color w:val="auto"/>
              </w:rPr>
              <w:t>Malaysia and JDA</w:t>
            </w:r>
          </w:p>
        </w:tc>
        <w:tc>
          <w:tcPr>
            <w:tcW w:w="460" w:type="dxa"/>
            <w:vAlign w:val="bottom"/>
          </w:tcPr>
          <w:p>
            <w:pPr>
              <w:jc w:val="right"/>
              <w:ind w:right="119"/>
              <w:spacing w:after="0"/>
              <w:rPr>
                <w:sz w:val="20"/>
                <w:szCs w:val="20"/>
                <w:color w:val="auto"/>
              </w:rPr>
            </w:pPr>
            <w:r>
              <w:rPr>
                <w:rFonts w:ascii="Arial" w:cs="Arial" w:eastAsia="Arial" w:hAnsi="Arial"/>
                <w:sz w:val="16"/>
                <w:szCs w:val="16"/>
                <w:color w:val="auto"/>
                <w:w w:val="89"/>
              </w:rPr>
              <w:t>284</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60" w:type="dxa"/>
            <w:vAlign w:val="bottom"/>
          </w:tcPr>
          <w:p>
            <w:pPr>
              <w:jc w:val="right"/>
              <w:ind w:right="119"/>
              <w:spacing w:after="0"/>
              <w:rPr>
                <w:sz w:val="20"/>
                <w:szCs w:val="20"/>
                <w:color w:val="auto"/>
              </w:rPr>
            </w:pPr>
            <w:r>
              <w:rPr>
                <w:rFonts w:ascii="Arial" w:cs="Arial" w:eastAsia="Arial" w:hAnsi="Arial"/>
                <w:sz w:val="16"/>
                <w:szCs w:val="16"/>
                <w:color w:val="auto"/>
                <w:w w:val="89"/>
              </w:rPr>
              <w:t>282</w:t>
            </w:r>
          </w:p>
        </w:tc>
        <w:tc>
          <w:tcPr>
            <w:tcW w:w="1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20" w:type="dxa"/>
            <w:vAlign w:val="bottom"/>
          </w:tcPr>
          <w:p>
            <w:pPr>
              <w:jc w:val="right"/>
              <w:ind w:right="120"/>
              <w:spacing w:after="0"/>
              <w:rPr>
                <w:sz w:val="20"/>
                <w:szCs w:val="20"/>
                <w:color w:val="auto"/>
              </w:rPr>
            </w:pPr>
            <w:r>
              <w:rPr>
                <w:rFonts w:ascii="Arial" w:cs="Arial" w:eastAsia="Arial" w:hAnsi="Arial"/>
                <w:sz w:val="16"/>
                <w:szCs w:val="16"/>
                <w:color w:val="auto"/>
              </w:rPr>
              <w:t>339</w:t>
            </w: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40" w:type="dxa"/>
            <w:vAlign w:val="bottom"/>
          </w:tcPr>
          <w:p>
            <w:pPr>
              <w:jc w:val="right"/>
              <w:ind w:right="119"/>
              <w:spacing w:after="0"/>
              <w:rPr>
                <w:sz w:val="20"/>
                <w:szCs w:val="20"/>
                <w:color w:val="auto"/>
              </w:rPr>
            </w:pPr>
            <w:r>
              <w:rPr>
                <w:rFonts w:ascii="Arial" w:cs="Arial" w:eastAsia="Arial" w:hAnsi="Arial"/>
                <w:sz w:val="16"/>
                <w:szCs w:val="16"/>
                <w:color w:val="auto"/>
              </w:rPr>
              <w:t>284</w:t>
            </w:r>
          </w:p>
        </w:tc>
      </w:tr>
      <w:tr>
        <w:trPr>
          <w:trHeight w:val="219"/>
        </w:trPr>
        <w:tc>
          <w:tcPr>
            <w:tcW w:w="5820" w:type="dxa"/>
            <w:vAlign w:val="bottom"/>
          </w:tcPr>
          <w:p>
            <w:pPr>
              <w:ind w:left="200"/>
              <w:spacing w:after="0"/>
              <w:rPr>
                <w:sz w:val="20"/>
                <w:szCs w:val="20"/>
                <w:color w:val="auto"/>
              </w:rPr>
            </w:pPr>
            <w:r>
              <w:rPr>
                <w:rFonts w:ascii="Arial" w:cs="Arial" w:eastAsia="Arial" w:hAnsi="Arial"/>
                <w:sz w:val="16"/>
                <w:szCs w:val="16"/>
                <w:color w:val="auto"/>
              </w:rPr>
              <w:t>Other (a)</w:t>
            </w:r>
          </w:p>
        </w:tc>
        <w:tc>
          <w:tcPr>
            <w:tcW w:w="8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9</w:t>
            </w:r>
          </w:p>
        </w:tc>
        <w:tc>
          <w:tcPr>
            <w:tcW w:w="120" w:type="dxa"/>
            <w:vAlign w:val="bottom"/>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ind w:right="120"/>
              <w:spacing w:after="0"/>
              <w:rPr>
                <w:sz w:val="20"/>
                <w:szCs w:val="20"/>
                <w:color w:val="auto"/>
              </w:rPr>
            </w:pPr>
            <w:r>
              <w:rPr>
                <w:rFonts w:ascii="Arial" w:cs="Arial" w:eastAsia="Arial" w:hAnsi="Arial"/>
                <w:sz w:val="16"/>
                <w:szCs w:val="16"/>
                <w:color w:val="auto"/>
              </w:rPr>
              <w:t>9</w:t>
            </w:r>
          </w:p>
        </w:tc>
        <w:tc>
          <w:tcPr>
            <w:tcW w:w="12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7</w:t>
            </w:r>
          </w:p>
        </w:tc>
      </w:tr>
      <w:tr>
        <w:trPr>
          <w:trHeight w:val="210"/>
        </w:trPr>
        <w:tc>
          <w:tcPr>
            <w:tcW w:w="5820" w:type="dxa"/>
            <w:vAlign w:val="bottom"/>
          </w:tcPr>
          <w:p>
            <w:pPr>
              <w:ind w:left="460"/>
              <w:spacing w:after="0"/>
              <w:rPr>
                <w:sz w:val="20"/>
                <w:szCs w:val="20"/>
                <w:color w:val="auto"/>
              </w:rPr>
            </w:pPr>
            <w:r>
              <w:rPr>
                <w:rFonts w:ascii="Arial" w:cs="Arial" w:eastAsia="Arial" w:hAnsi="Arial"/>
                <w:sz w:val="16"/>
                <w:szCs w:val="16"/>
                <w:color w:val="auto"/>
              </w:rPr>
              <w:t>Total</w:t>
            </w:r>
          </w:p>
        </w:tc>
        <w:tc>
          <w:tcPr>
            <w:tcW w:w="80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503</w:t>
            </w:r>
          </w:p>
        </w:tc>
        <w:tc>
          <w:tcPr>
            <w:tcW w:w="12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540</w:t>
            </w:r>
          </w:p>
        </w:tc>
        <w:tc>
          <w:tcPr>
            <w:tcW w:w="120" w:type="dxa"/>
            <w:vAlign w:val="bottom"/>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120"/>
              <w:spacing w:after="0"/>
              <w:rPr>
                <w:sz w:val="20"/>
                <w:szCs w:val="20"/>
                <w:color w:val="auto"/>
              </w:rPr>
            </w:pPr>
            <w:r>
              <w:rPr>
                <w:rFonts w:ascii="Arial" w:cs="Arial" w:eastAsia="Arial" w:hAnsi="Arial"/>
                <w:sz w:val="16"/>
                <w:szCs w:val="16"/>
                <w:color w:val="auto"/>
              </w:rPr>
              <w:t>584</w:t>
            </w:r>
          </w:p>
        </w:tc>
        <w:tc>
          <w:tcPr>
            <w:tcW w:w="12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560</w:t>
            </w:r>
          </w:p>
        </w:tc>
      </w:tr>
      <w:tr>
        <w:trPr>
          <w:trHeight w:val="213"/>
        </w:trPr>
        <w:tc>
          <w:tcPr>
            <w:tcW w:w="6620" w:type="dxa"/>
            <w:vAlign w:val="bottom"/>
            <w:gridSpan w:val="2"/>
          </w:tcPr>
          <w:p>
            <w:pPr>
              <w:spacing w:after="0"/>
              <w:rPr>
                <w:sz w:val="20"/>
                <w:szCs w:val="20"/>
                <w:color w:val="auto"/>
              </w:rPr>
            </w:pPr>
            <w:r>
              <w:rPr>
                <w:rFonts w:ascii="Arial" w:cs="Arial" w:eastAsia="Arial" w:hAnsi="Arial"/>
                <w:sz w:val="16"/>
                <w:szCs w:val="16"/>
                <w:b w:val="1"/>
                <w:bCs w:val="1"/>
                <w:color w:val="auto"/>
              </w:rPr>
              <w:t>Barrels of Oil Equivalent (b)</w:t>
            </w:r>
          </w:p>
        </w:tc>
        <w:tc>
          <w:tcPr>
            <w:tcW w:w="460" w:type="dxa"/>
            <w:vAlign w:val="bottom"/>
          </w:tcPr>
          <w:p>
            <w:pPr>
              <w:jc w:val="right"/>
              <w:ind w:right="119"/>
              <w:spacing w:after="0"/>
              <w:rPr>
                <w:sz w:val="20"/>
                <w:szCs w:val="20"/>
                <w:color w:val="auto"/>
              </w:rPr>
            </w:pPr>
            <w:r>
              <w:rPr>
                <w:rFonts w:ascii="Arial" w:cs="Arial" w:eastAsia="Arial" w:hAnsi="Arial"/>
                <w:sz w:val="16"/>
                <w:szCs w:val="16"/>
                <w:color w:val="auto"/>
                <w:w w:val="89"/>
              </w:rPr>
              <w:t>284</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jc w:val="right"/>
              <w:ind w:right="119"/>
              <w:spacing w:after="0"/>
              <w:rPr>
                <w:sz w:val="20"/>
                <w:szCs w:val="20"/>
                <w:color w:val="auto"/>
              </w:rPr>
            </w:pPr>
            <w:r>
              <w:rPr>
                <w:rFonts w:ascii="Arial" w:cs="Arial" w:eastAsia="Arial" w:hAnsi="Arial"/>
                <w:sz w:val="16"/>
                <w:szCs w:val="16"/>
                <w:color w:val="auto"/>
                <w:w w:val="89"/>
              </w:rPr>
              <w:t>321</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jc w:val="right"/>
              <w:ind w:right="120"/>
              <w:spacing w:after="0"/>
              <w:rPr>
                <w:sz w:val="20"/>
                <w:szCs w:val="20"/>
                <w:color w:val="auto"/>
              </w:rPr>
            </w:pPr>
            <w:r>
              <w:rPr>
                <w:rFonts w:ascii="Arial" w:cs="Arial" w:eastAsia="Arial" w:hAnsi="Arial"/>
                <w:sz w:val="16"/>
                <w:szCs w:val="16"/>
                <w:color w:val="auto"/>
              </w:rPr>
              <w:t>315</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40" w:type="dxa"/>
            <w:vAlign w:val="bottom"/>
          </w:tcPr>
          <w:p>
            <w:pPr>
              <w:jc w:val="right"/>
              <w:ind w:right="119"/>
              <w:spacing w:after="0"/>
              <w:rPr>
                <w:sz w:val="20"/>
                <w:szCs w:val="20"/>
                <w:color w:val="auto"/>
              </w:rPr>
            </w:pPr>
            <w:r>
              <w:rPr>
                <w:rFonts w:ascii="Arial" w:cs="Arial" w:eastAsia="Arial" w:hAnsi="Arial"/>
                <w:sz w:val="16"/>
                <w:szCs w:val="16"/>
                <w:color w:val="auto"/>
              </w:rPr>
              <w:t>335</w:t>
            </w:r>
          </w:p>
        </w:tc>
      </w:tr>
      <w:tr>
        <w:trPr>
          <w:trHeight w:val="20"/>
        </w:trPr>
        <w:tc>
          <w:tcPr>
            <w:tcW w:w="58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r>
      <w:tr>
        <w:trPr>
          <w:trHeight w:val="393"/>
        </w:trPr>
        <w:tc>
          <w:tcPr>
            <w:tcW w:w="6620" w:type="dxa"/>
            <w:vAlign w:val="bottom"/>
            <w:gridSpan w:val="2"/>
          </w:tcPr>
          <w:p>
            <w:pPr>
              <w:spacing w:after="0"/>
              <w:rPr>
                <w:sz w:val="20"/>
                <w:szCs w:val="20"/>
                <w:color w:val="auto"/>
              </w:rPr>
            </w:pPr>
            <w:r>
              <w:rPr>
                <w:rFonts w:ascii="Arial" w:cs="Arial" w:eastAsia="Arial" w:hAnsi="Arial"/>
                <w:sz w:val="16"/>
                <w:szCs w:val="16"/>
                <w:color w:val="auto"/>
              </w:rPr>
              <w:t>Crude oil and natural gas liquids as a share of total production</w:t>
            </w:r>
          </w:p>
        </w:tc>
        <w:tc>
          <w:tcPr>
            <w:tcW w:w="460" w:type="dxa"/>
            <w:vAlign w:val="bottom"/>
          </w:tcPr>
          <w:p>
            <w:pPr>
              <w:jc w:val="right"/>
              <w:spacing w:after="0"/>
              <w:rPr>
                <w:sz w:val="20"/>
                <w:szCs w:val="20"/>
                <w:color w:val="auto"/>
              </w:rPr>
            </w:pPr>
            <w:r>
              <w:rPr>
                <w:rFonts w:ascii="Arial" w:cs="Arial" w:eastAsia="Arial" w:hAnsi="Arial"/>
                <w:sz w:val="16"/>
                <w:szCs w:val="16"/>
                <w:color w:val="auto"/>
              </w:rPr>
              <w:t>70 %</w:t>
            </w: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60" w:type="dxa"/>
            <w:vAlign w:val="bottom"/>
          </w:tcPr>
          <w:p>
            <w:pPr>
              <w:jc w:val="right"/>
              <w:spacing w:after="0"/>
              <w:rPr>
                <w:sz w:val="20"/>
                <w:szCs w:val="20"/>
                <w:color w:val="auto"/>
              </w:rPr>
            </w:pPr>
            <w:r>
              <w:rPr>
                <w:rFonts w:ascii="Arial" w:cs="Arial" w:eastAsia="Arial" w:hAnsi="Arial"/>
                <w:sz w:val="16"/>
                <w:szCs w:val="16"/>
                <w:color w:val="auto"/>
              </w:rPr>
              <w:t>72 %</w:t>
            </w: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69 %</w:t>
            </w: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72 %</w:t>
            </w:r>
          </w:p>
        </w:tc>
      </w:tr>
    </w:tbl>
    <w:p>
      <w:pPr>
        <w:spacing w:after="0" w:line="68" w:lineRule="exact"/>
        <w:rPr>
          <w:sz w:val="20"/>
          <w:szCs w:val="20"/>
          <w:color w:val="auto"/>
        </w:rPr>
      </w:pPr>
    </w:p>
    <w:p>
      <w:pPr>
        <w:jc w:val="both"/>
        <w:ind w:left="340" w:hanging="251"/>
        <w:spacing w:after="0" w:line="247" w:lineRule="auto"/>
        <w:tabs>
          <w:tab w:leader="none" w:pos="332" w:val="left"/>
        </w:tabs>
        <w:numPr>
          <w:ilvl w:val="0"/>
          <w:numId w:val="8"/>
        </w:numPr>
        <w:rPr>
          <w:rFonts w:ascii="Arial" w:cs="Arial" w:eastAsia="Arial" w:hAnsi="Arial"/>
          <w:sz w:val="14"/>
          <w:szCs w:val="14"/>
          <w:i w:val="1"/>
          <w:iCs w:val="1"/>
          <w:color w:val="auto"/>
        </w:rPr>
      </w:pPr>
      <w:r>
        <w:rPr>
          <w:rFonts w:ascii="Arial" w:cs="Arial" w:eastAsia="Arial" w:hAnsi="Arial"/>
          <w:sz w:val="14"/>
          <w:szCs w:val="14"/>
          <w:i w:val="1"/>
          <w:iCs w:val="1"/>
          <w:color w:val="auto"/>
        </w:rPr>
        <w:t>Other includes our interest in Denmark and Libya. Net production from Denmark was 3,000 boepd and 4,000 boepd in the third quarter and first nine months of 2021, respectively, compared with 5,000 boepd and 6,000 boepd in the third quarter and first nine months of 2020, respectively. Net production from Libya was 19,000 boepd for both the third quarter and first nine months of 2021, compared with nil and 2,000 boepd in the third quarter and first nine months of 2020, respectively.</w:t>
      </w:r>
    </w:p>
    <w:p>
      <w:pPr>
        <w:jc w:val="both"/>
        <w:ind w:left="340" w:hanging="251"/>
        <w:spacing w:after="0" w:line="248" w:lineRule="auto"/>
        <w:tabs>
          <w:tab w:leader="none" w:pos="332" w:val="left"/>
        </w:tabs>
        <w:numPr>
          <w:ilvl w:val="0"/>
          <w:numId w:val="8"/>
        </w:numPr>
        <w:rPr>
          <w:rFonts w:ascii="Arial" w:cs="Arial" w:eastAsia="Arial" w:hAnsi="Arial"/>
          <w:sz w:val="14"/>
          <w:szCs w:val="14"/>
          <w:i w:val="1"/>
          <w:iCs w:val="1"/>
          <w:color w:val="auto"/>
        </w:rPr>
      </w:pPr>
      <w:r>
        <w:rPr>
          <w:rFonts w:ascii="Arial" w:cs="Arial" w:eastAsia="Arial" w:hAnsi="Arial"/>
          <w:sz w:val="14"/>
          <w:szCs w:val="14"/>
          <w:i w:val="1"/>
          <w:iCs w:val="1"/>
          <w:color w:val="auto"/>
        </w:rPr>
        <w:t>Reflects natural gas production converted based on relative energy content (six mcf equals one barrel). Barrel of oil equivalence does not necessarily result in price equivalence as the equivalent price of natural gas on a barrel of oil equivalent basis has been substantially lower than the corresponding price for crude oil over the recent past. In addition, NGLs do not sell at prices equivalent to crude oil. See the average selling prices in the table on page 22.</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color w:val="auto"/>
        </w:rPr>
        <w:t>We forecast net production, excluding Libya, to be approximately 295,000 boepd for the fourth quarter and the full year 2021.</w:t>
      </w:r>
    </w:p>
    <w:p>
      <w:pPr>
        <w:spacing w:after="0" w:line="11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b w:val="1"/>
          <w:bCs w:val="1"/>
          <w:i w:val="1"/>
          <w:iCs w:val="1"/>
          <w:color w:val="auto"/>
        </w:rPr>
        <w:t xml:space="preserve">United States: </w:t>
      </w:r>
      <w:r>
        <w:rPr>
          <w:rFonts w:ascii="Arial" w:cs="Arial" w:eastAsia="Arial" w:hAnsi="Arial"/>
          <w:sz w:val="17"/>
          <w:szCs w:val="17"/>
          <w:color w:val="auto"/>
        </w:rPr>
        <w:t>North Dakota net production was lower in the third quarter and first nine months of 2021, compared to the corresponding periods in 2020,</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primarily due to the impact of lower drilling activity caused by a reduction in rig count from six to one during the first half of last year, lower NGL and natural gas volumes received under percentage of proceeds contracts due to higher commodity prices, curtailed production related to the planned Tioga Gas Plant maintenance turnaround completed in the third quarter of 2021, and the second quarter 2021 sale of our Little Knife and Murphy Creek nonstrategic acreage interests. Total offshore net production was lower in the third quarter and first nine months of 2021, compared to the corresponding periods in 2020, primarily due to the sale of our working interest in the Shenzi Field in the deepwater Gulf of Mexico in the fourth quarter of 2020, higher hurricane related downtime in the third quarter of 2021, and natural field decline. Net production from the Shenzi Field was 9,000 boepd and 11,000 boepd for the third quarter and first nine months of 2020, respectively.</w:t>
      </w:r>
    </w:p>
    <w:p>
      <w:pPr>
        <w:sectPr>
          <w:pgSz w:w="11900" w:h="16838" w:orient="portrait"/>
          <w:cols w:equalWidth="0" w:num="1">
            <w:col w:w="11240"/>
          </w:cols>
          <w:pgMar w:left="320" w:top="58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type w:val="continuous"/>
        </w:sectPr>
      </w:pPr>
    </w:p>
    <w:bookmarkStart w:id="24" w:name="page25"/>
    <w:bookmarkEnd w:id="24"/>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Consolidated Results of Operations (continued)</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b w:val="1"/>
          <w:bCs w:val="1"/>
          <w:i w:val="1"/>
          <w:iCs w:val="1"/>
          <w:color w:val="auto"/>
        </w:rPr>
        <w:t xml:space="preserve">International: </w:t>
      </w:r>
      <w:r>
        <w:rPr>
          <w:rFonts w:ascii="Arial" w:cs="Arial" w:eastAsia="Arial" w:hAnsi="Arial"/>
          <w:sz w:val="18"/>
          <w:szCs w:val="18"/>
          <w:color w:val="auto"/>
        </w:rPr>
        <w:t>Net oil production in Guyana was higher in the third quarter and first nine months of 2021, compared to the corresponding periods in 2020,</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due to the production ramp up from the Liza Phase 1 development. Net oil production in Libya was higher in the third quarter and first nine months of 2021, compared to the corresponding periods in 2020, due to the lifting of force majeure in October 2020. Net natural gas production at Malaysia and JDA was higher in the first nine months of 2021, compared to the corresponding period in 2020, reflecting higher natural gas sales due to a recovery in economic activity.</w:t>
      </w:r>
    </w:p>
    <w:p>
      <w:pPr>
        <w:spacing w:after="0" w:line="8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 xml:space="preserve">Sales Volumes: </w:t>
      </w:r>
      <w:r>
        <w:rPr>
          <w:rFonts w:ascii="Arial" w:cs="Arial" w:eastAsia="Arial" w:hAnsi="Arial"/>
          <w:sz w:val="18"/>
          <w:szCs w:val="18"/>
          <w:color w:val="auto"/>
        </w:rPr>
        <w:t>Worldwide sales volumes from Hess net production, which excludes sales volumes of crude oil, NGLs and natural gas purchased from</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third parties, were as follows:</w:t>
      </w:r>
    </w:p>
    <w:p>
      <w:pPr>
        <w:spacing w:after="0" w:line="78"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140" w:type="dxa"/>
            <w:vAlign w:val="bottom"/>
          </w:tcPr>
          <w:p>
            <w:pPr>
              <w:spacing w:after="0"/>
              <w:rPr>
                <w:sz w:val="14"/>
                <w:szCs w:val="14"/>
                <w:color w:val="auto"/>
              </w:rPr>
            </w:pPr>
          </w:p>
        </w:tc>
        <w:tc>
          <w:tcPr>
            <w:tcW w:w="3020" w:type="dxa"/>
            <w:vAlign w:val="bottom"/>
            <w:gridSpan w:val="6"/>
          </w:tcPr>
          <w:p>
            <w:pPr>
              <w:jc w:val="center"/>
              <w:ind w:right="520"/>
              <w:spacing w:after="0"/>
              <w:rPr>
                <w:sz w:val="20"/>
                <w:szCs w:val="20"/>
                <w:color w:val="auto"/>
              </w:rPr>
            </w:pPr>
            <w:r>
              <w:rPr>
                <w:rFonts w:ascii="Arial" w:cs="Arial" w:eastAsia="Arial" w:hAnsi="Arial"/>
                <w:sz w:val="14"/>
                <w:szCs w:val="14"/>
                <w:b w:val="1"/>
                <w:bCs w:val="1"/>
                <w:color w:val="auto"/>
                <w:w w:val="93"/>
              </w:rPr>
              <w:t>Three Months Ended</w:t>
            </w:r>
          </w:p>
        </w:tc>
        <w:tc>
          <w:tcPr>
            <w:tcW w:w="2060" w:type="dxa"/>
            <w:vAlign w:val="bottom"/>
            <w:gridSpan w:val="4"/>
          </w:tcPr>
          <w:p>
            <w:pPr>
              <w:jc w:val="center"/>
              <w:ind w:right="340"/>
              <w:spacing w:after="0"/>
              <w:rPr>
                <w:sz w:val="20"/>
                <w:szCs w:val="20"/>
                <w:color w:val="auto"/>
              </w:rPr>
            </w:pPr>
            <w:r>
              <w:rPr>
                <w:rFonts w:ascii="Arial" w:cs="Arial" w:eastAsia="Arial" w:hAnsi="Arial"/>
                <w:sz w:val="14"/>
                <w:szCs w:val="14"/>
                <w:b w:val="1"/>
                <w:bCs w:val="1"/>
                <w:color w:val="auto"/>
                <w:w w:val="94"/>
              </w:rPr>
              <w:t>Nine Months Ended</w:t>
            </w:r>
          </w:p>
        </w:tc>
        <w:tc>
          <w:tcPr>
            <w:tcW w:w="0" w:type="dxa"/>
            <w:vAlign w:val="bottom"/>
          </w:tcPr>
          <w:p>
            <w:pPr>
              <w:spacing w:after="0"/>
              <w:rPr>
                <w:sz w:val="1"/>
                <w:szCs w:val="1"/>
                <w:color w:val="auto"/>
              </w:rPr>
            </w:pPr>
          </w:p>
        </w:tc>
      </w:tr>
      <w:tr>
        <w:trPr>
          <w:trHeight w:val="188"/>
        </w:trPr>
        <w:tc>
          <w:tcPr>
            <w:tcW w:w="6140" w:type="dxa"/>
            <w:vAlign w:val="bottom"/>
          </w:tcPr>
          <w:p>
            <w:pPr>
              <w:spacing w:after="0"/>
              <w:rPr>
                <w:sz w:val="16"/>
                <w:szCs w:val="16"/>
                <w:color w:val="auto"/>
              </w:rPr>
            </w:pPr>
          </w:p>
        </w:tc>
        <w:tc>
          <w:tcPr>
            <w:tcW w:w="1720" w:type="dxa"/>
            <w:vAlign w:val="bottom"/>
            <w:tcBorders>
              <w:bottom w:val="single" w:sz="8" w:color="auto"/>
            </w:tcBorders>
            <w:gridSpan w:val="3"/>
          </w:tcPr>
          <w:p>
            <w:pPr>
              <w:jc w:val="center"/>
              <w:ind w:left="681"/>
              <w:spacing w:after="0"/>
              <w:rPr>
                <w:sz w:val="20"/>
                <w:szCs w:val="20"/>
                <w:color w:val="auto"/>
              </w:rPr>
            </w:pPr>
            <w:r>
              <w:rPr>
                <w:rFonts w:ascii="Arial" w:cs="Arial" w:eastAsia="Arial" w:hAnsi="Arial"/>
                <w:sz w:val="14"/>
                <w:szCs w:val="14"/>
                <w:b w:val="1"/>
                <w:bCs w:val="1"/>
                <w:color w:val="auto"/>
                <w:w w:val="91"/>
              </w:rPr>
              <w:t>September 30,</w:t>
            </w:r>
          </w:p>
        </w:tc>
        <w:tc>
          <w:tcPr>
            <w:tcW w:w="7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3"/>
          </w:tcPr>
          <w:p>
            <w:pPr>
              <w:jc w:val="center"/>
              <w:ind w:left="281"/>
              <w:spacing w:after="0"/>
              <w:rPr>
                <w:sz w:val="20"/>
                <w:szCs w:val="20"/>
                <w:color w:val="auto"/>
              </w:rPr>
            </w:pPr>
            <w:r>
              <w:rPr>
                <w:rFonts w:ascii="Arial" w:cs="Arial" w:eastAsia="Arial" w:hAnsi="Arial"/>
                <w:sz w:val="14"/>
                <w:szCs w:val="14"/>
                <w:b w:val="1"/>
                <w:bCs w:val="1"/>
                <w:color w:val="auto"/>
                <w:w w:val="91"/>
              </w:rPr>
              <w:t>September 30,</w:t>
            </w: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6140" w:type="dxa"/>
            <w:vAlign w:val="bottom"/>
          </w:tcPr>
          <w:p>
            <w:pPr>
              <w:spacing w:after="0"/>
              <w:rPr>
                <w:sz w:val="15"/>
                <w:szCs w:val="15"/>
                <w:color w:val="auto"/>
              </w:rPr>
            </w:pPr>
          </w:p>
        </w:tc>
        <w:tc>
          <w:tcPr>
            <w:tcW w:w="1200" w:type="dxa"/>
            <w:vAlign w:val="bottom"/>
            <w:tcBorders>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361"/>
              <w:spacing w:after="0"/>
              <w:rPr>
                <w:sz w:val="20"/>
                <w:szCs w:val="20"/>
                <w:color w:val="auto"/>
              </w:rPr>
            </w:pPr>
            <w:r>
              <w:rPr>
                <w:rFonts w:ascii="Arial" w:cs="Arial" w:eastAsia="Arial" w:hAnsi="Arial"/>
                <w:sz w:val="14"/>
                <w:szCs w:val="14"/>
                <w:b w:val="1"/>
                <w:bCs w:val="1"/>
                <w:color w:val="auto"/>
                <w:w w:val="96"/>
              </w:rPr>
              <w:t>2020</w:t>
            </w:r>
          </w:p>
        </w:tc>
        <w:tc>
          <w:tcPr>
            <w:tcW w:w="120" w:type="dxa"/>
            <w:vAlign w:val="bottom"/>
          </w:tcPr>
          <w:p>
            <w:pPr>
              <w:spacing w:after="0"/>
              <w:rPr>
                <w:sz w:val="15"/>
                <w:szCs w:val="15"/>
                <w:color w:val="auto"/>
              </w:rPr>
            </w:pPr>
          </w:p>
        </w:tc>
        <w:tc>
          <w:tcPr>
            <w:tcW w:w="4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361"/>
              <w:spacing w:after="0"/>
              <w:rPr>
                <w:sz w:val="20"/>
                <w:szCs w:val="20"/>
                <w:color w:val="auto"/>
              </w:rPr>
            </w:pPr>
            <w:r>
              <w:rPr>
                <w:rFonts w:ascii="Arial" w:cs="Arial" w:eastAsia="Arial" w:hAnsi="Arial"/>
                <w:sz w:val="14"/>
                <w:szCs w:val="14"/>
                <w:b w:val="1"/>
                <w:bCs w:val="1"/>
                <w:color w:val="auto"/>
                <w:w w:val="96"/>
              </w:rPr>
              <w:t>2021</w:t>
            </w:r>
          </w:p>
        </w:tc>
        <w:tc>
          <w:tcPr>
            <w:tcW w:w="12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w w:val="96"/>
              </w:rPr>
              <w:t>2020</w:t>
            </w:r>
          </w:p>
        </w:tc>
        <w:tc>
          <w:tcPr>
            <w:tcW w:w="0" w:type="dxa"/>
            <w:vAlign w:val="bottom"/>
          </w:tcPr>
          <w:p>
            <w:pPr>
              <w:spacing w:after="0"/>
              <w:rPr>
                <w:sz w:val="1"/>
                <w:szCs w:val="1"/>
                <w:color w:val="auto"/>
              </w:rPr>
            </w:pPr>
          </w:p>
        </w:tc>
      </w:tr>
      <w:tr>
        <w:trPr>
          <w:trHeight w:val="212"/>
        </w:trPr>
        <w:tc>
          <w:tcPr>
            <w:tcW w:w="6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00" w:type="dxa"/>
            <w:vAlign w:val="bottom"/>
            <w:gridSpan w:val="3"/>
          </w:tcPr>
          <w:p>
            <w:pPr>
              <w:ind w:left="380"/>
              <w:spacing w:after="0"/>
              <w:rPr>
                <w:sz w:val="20"/>
                <w:szCs w:val="20"/>
                <w:color w:val="auto"/>
              </w:rPr>
            </w:pPr>
            <w:r>
              <w:rPr>
                <w:rFonts w:ascii="Arial" w:cs="Arial" w:eastAsia="Arial" w:hAnsi="Arial"/>
                <w:sz w:val="14"/>
                <w:szCs w:val="14"/>
                <w:b w:val="1"/>
                <w:bCs w:val="1"/>
                <w:color w:val="auto"/>
                <w:w w:val="93"/>
              </w:rPr>
              <w:t>(In thousands)</w:t>
            </w: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6140" w:type="dxa"/>
            <w:vAlign w:val="bottom"/>
          </w:tcPr>
          <w:p>
            <w:pPr>
              <w:spacing w:after="0"/>
              <w:rPr>
                <w:sz w:val="20"/>
                <w:szCs w:val="20"/>
                <w:color w:val="auto"/>
              </w:rPr>
            </w:pPr>
            <w:r>
              <w:rPr>
                <w:rFonts w:ascii="Arial" w:cs="Arial" w:eastAsia="Arial" w:hAnsi="Arial"/>
                <w:sz w:val="16"/>
                <w:szCs w:val="16"/>
                <w:color w:val="auto"/>
              </w:rPr>
              <w:t>Crude oil – barrels (a)</w:t>
            </w:r>
          </w:p>
        </w:tc>
        <w:tc>
          <w:tcPr>
            <w:tcW w:w="1200" w:type="dxa"/>
            <w:vAlign w:val="bottom"/>
          </w:tcPr>
          <w:p>
            <w:pPr>
              <w:jc w:val="right"/>
              <w:ind w:right="1"/>
              <w:spacing w:after="0"/>
              <w:rPr>
                <w:sz w:val="20"/>
                <w:szCs w:val="20"/>
                <w:color w:val="auto"/>
              </w:rPr>
            </w:pPr>
            <w:r>
              <w:rPr>
                <w:rFonts w:ascii="Arial" w:cs="Arial" w:eastAsia="Arial" w:hAnsi="Arial"/>
                <w:sz w:val="16"/>
                <w:szCs w:val="16"/>
                <w:color w:val="auto"/>
              </w:rPr>
              <w:t>13,627</w:t>
            </w:r>
          </w:p>
        </w:tc>
        <w:tc>
          <w:tcPr>
            <w:tcW w:w="1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15,134</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48,315</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43,950</w:t>
            </w:r>
          </w:p>
        </w:tc>
        <w:tc>
          <w:tcPr>
            <w:tcW w:w="0" w:type="dxa"/>
            <w:vAlign w:val="bottom"/>
          </w:tcPr>
          <w:p>
            <w:pPr>
              <w:spacing w:after="0"/>
              <w:rPr>
                <w:sz w:val="1"/>
                <w:szCs w:val="1"/>
                <w:color w:val="auto"/>
              </w:rPr>
            </w:pPr>
          </w:p>
        </w:tc>
      </w:tr>
      <w:tr>
        <w:trPr>
          <w:trHeight w:val="216"/>
        </w:trPr>
        <w:tc>
          <w:tcPr>
            <w:tcW w:w="6140" w:type="dxa"/>
            <w:vAlign w:val="bottom"/>
          </w:tcPr>
          <w:p>
            <w:pPr>
              <w:spacing w:after="0"/>
              <w:rPr>
                <w:sz w:val="20"/>
                <w:szCs w:val="20"/>
                <w:color w:val="auto"/>
              </w:rPr>
            </w:pPr>
            <w:r>
              <w:rPr>
                <w:rFonts w:ascii="Arial" w:cs="Arial" w:eastAsia="Arial" w:hAnsi="Arial"/>
                <w:sz w:val="16"/>
                <w:szCs w:val="16"/>
                <w:color w:val="auto"/>
              </w:rPr>
              <w:t>Natural gas liquids – barrels</w:t>
            </w:r>
          </w:p>
        </w:tc>
        <w:tc>
          <w:tcPr>
            <w:tcW w:w="1200" w:type="dxa"/>
            <w:vAlign w:val="bottom"/>
          </w:tcPr>
          <w:p>
            <w:pPr>
              <w:jc w:val="right"/>
              <w:ind w:right="1"/>
              <w:spacing w:after="0"/>
              <w:rPr>
                <w:sz w:val="20"/>
                <w:szCs w:val="20"/>
                <w:color w:val="auto"/>
              </w:rPr>
            </w:pPr>
            <w:r>
              <w:rPr>
                <w:rFonts w:ascii="Arial" w:cs="Arial" w:eastAsia="Arial" w:hAnsi="Arial"/>
                <w:sz w:val="16"/>
                <w:szCs w:val="16"/>
                <w:color w:val="auto"/>
              </w:rPr>
              <w:t>4,338</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5,768</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14,282</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16,555</w:t>
            </w:r>
          </w:p>
        </w:tc>
        <w:tc>
          <w:tcPr>
            <w:tcW w:w="0" w:type="dxa"/>
            <w:vAlign w:val="bottom"/>
          </w:tcPr>
          <w:p>
            <w:pPr>
              <w:spacing w:after="0"/>
              <w:rPr>
                <w:sz w:val="1"/>
                <w:szCs w:val="1"/>
                <w:color w:val="auto"/>
              </w:rPr>
            </w:pPr>
          </w:p>
        </w:tc>
      </w:tr>
      <w:tr>
        <w:trPr>
          <w:trHeight w:val="219"/>
        </w:trPr>
        <w:tc>
          <w:tcPr>
            <w:tcW w:w="6140" w:type="dxa"/>
            <w:vAlign w:val="bottom"/>
          </w:tcPr>
          <w:p>
            <w:pPr>
              <w:spacing w:after="0"/>
              <w:rPr>
                <w:sz w:val="20"/>
                <w:szCs w:val="20"/>
                <w:color w:val="auto"/>
              </w:rPr>
            </w:pPr>
            <w:r>
              <w:rPr>
                <w:rFonts w:ascii="Arial" w:cs="Arial" w:eastAsia="Arial" w:hAnsi="Arial"/>
                <w:sz w:val="16"/>
                <w:szCs w:val="16"/>
                <w:color w:val="auto"/>
              </w:rPr>
              <w:t>Natural gas – mcf</w:t>
            </w:r>
          </w:p>
        </w:tc>
        <w:tc>
          <w:tcPr>
            <w:tcW w:w="120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46,317</w:t>
            </w:r>
          </w:p>
        </w:tc>
        <w:tc>
          <w:tcPr>
            <w:tcW w:w="10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49,674</w:t>
            </w:r>
          </w:p>
        </w:tc>
        <w:tc>
          <w:tcPr>
            <w:tcW w:w="12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159,387</w:t>
            </w:r>
          </w:p>
        </w:tc>
        <w:tc>
          <w:tcPr>
            <w:tcW w:w="1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153,375</w:t>
            </w:r>
          </w:p>
        </w:tc>
        <w:tc>
          <w:tcPr>
            <w:tcW w:w="0" w:type="dxa"/>
            <w:vAlign w:val="bottom"/>
          </w:tcPr>
          <w:p>
            <w:pPr>
              <w:spacing w:after="0"/>
              <w:rPr>
                <w:sz w:val="1"/>
                <w:szCs w:val="1"/>
                <w:color w:val="auto"/>
              </w:rPr>
            </w:pPr>
          </w:p>
        </w:tc>
      </w:tr>
      <w:tr>
        <w:trPr>
          <w:trHeight w:val="213"/>
        </w:trPr>
        <w:tc>
          <w:tcPr>
            <w:tcW w:w="6140" w:type="dxa"/>
            <w:vAlign w:val="bottom"/>
          </w:tcPr>
          <w:p>
            <w:pPr>
              <w:ind w:left="200"/>
              <w:spacing w:after="0"/>
              <w:rPr>
                <w:sz w:val="20"/>
                <w:szCs w:val="20"/>
                <w:color w:val="auto"/>
              </w:rPr>
            </w:pPr>
            <w:r>
              <w:rPr>
                <w:rFonts w:ascii="Arial" w:cs="Arial" w:eastAsia="Arial" w:hAnsi="Arial"/>
                <w:sz w:val="16"/>
                <w:szCs w:val="16"/>
                <w:b w:val="1"/>
                <w:bCs w:val="1"/>
                <w:color w:val="auto"/>
              </w:rPr>
              <w:t>Barrels of Oil Equivalent (b)</w:t>
            </w:r>
          </w:p>
        </w:tc>
        <w:tc>
          <w:tcPr>
            <w:tcW w:w="120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25,685</w:t>
            </w:r>
          </w:p>
        </w:tc>
        <w:tc>
          <w:tcPr>
            <w:tcW w:w="10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29,181</w:t>
            </w:r>
          </w:p>
        </w:tc>
        <w:tc>
          <w:tcPr>
            <w:tcW w:w="12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89,162</w:t>
            </w:r>
          </w:p>
        </w:tc>
        <w:tc>
          <w:tcPr>
            <w:tcW w:w="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86,068</w:t>
            </w:r>
          </w:p>
        </w:tc>
        <w:tc>
          <w:tcPr>
            <w:tcW w:w="0" w:type="dxa"/>
            <w:vAlign w:val="bottom"/>
          </w:tcPr>
          <w:p>
            <w:pPr>
              <w:spacing w:after="0"/>
              <w:rPr>
                <w:sz w:val="1"/>
                <w:szCs w:val="1"/>
                <w:color w:val="auto"/>
              </w:rPr>
            </w:pPr>
          </w:p>
        </w:tc>
      </w:tr>
      <w:tr>
        <w:trPr>
          <w:trHeight w:val="21"/>
        </w:trPr>
        <w:tc>
          <w:tcPr>
            <w:tcW w:w="6140" w:type="dxa"/>
            <w:vAlign w:val="bottom"/>
            <w:vMerge w:val="restart"/>
          </w:tcPr>
          <w:p>
            <w:pPr>
              <w:spacing w:after="0"/>
              <w:rPr>
                <w:sz w:val="20"/>
                <w:szCs w:val="20"/>
                <w:color w:val="auto"/>
              </w:rPr>
            </w:pPr>
            <w:r>
              <w:rPr>
                <w:rFonts w:ascii="Arial" w:cs="Arial" w:eastAsia="Arial" w:hAnsi="Arial"/>
                <w:sz w:val="16"/>
                <w:szCs w:val="16"/>
                <w:color w:val="auto"/>
              </w:rPr>
              <w:t>Crude oil – barrels per day</w:t>
            </w: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6140" w:type="dxa"/>
            <w:vAlign w:val="bottom"/>
            <w:vMerge w:val="continue"/>
          </w:tcPr>
          <w:p>
            <w:pPr>
              <w:spacing w:after="0"/>
              <w:rPr>
                <w:sz w:val="17"/>
                <w:szCs w:val="17"/>
                <w:color w:val="auto"/>
              </w:rPr>
            </w:pPr>
          </w:p>
        </w:tc>
        <w:tc>
          <w:tcPr>
            <w:tcW w:w="1200" w:type="dxa"/>
            <w:vAlign w:val="bottom"/>
          </w:tcPr>
          <w:p>
            <w:pPr>
              <w:jc w:val="right"/>
              <w:ind w:right="1"/>
              <w:spacing w:after="0"/>
              <w:rPr>
                <w:sz w:val="20"/>
                <w:szCs w:val="20"/>
                <w:color w:val="auto"/>
              </w:rPr>
            </w:pPr>
            <w:r>
              <w:rPr>
                <w:rFonts w:ascii="Arial" w:cs="Arial" w:eastAsia="Arial" w:hAnsi="Arial"/>
                <w:sz w:val="16"/>
                <w:szCs w:val="16"/>
                <w:color w:val="auto"/>
              </w:rPr>
              <w:t>148</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164</w:t>
            </w:r>
          </w:p>
        </w:tc>
        <w:tc>
          <w:tcPr>
            <w:tcW w:w="1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177</w:t>
            </w: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161</w:t>
            </w:r>
          </w:p>
        </w:tc>
        <w:tc>
          <w:tcPr>
            <w:tcW w:w="0" w:type="dxa"/>
            <w:vAlign w:val="bottom"/>
          </w:tcPr>
          <w:p>
            <w:pPr>
              <w:spacing w:after="0"/>
              <w:rPr>
                <w:sz w:val="1"/>
                <w:szCs w:val="1"/>
                <w:color w:val="auto"/>
              </w:rPr>
            </w:pPr>
          </w:p>
        </w:tc>
      </w:tr>
      <w:tr>
        <w:trPr>
          <w:trHeight w:val="216"/>
        </w:trPr>
        <w:tc>
          <w:tcPr>
            <w:tcW w:w="6140" w:type="dxa"/>
            <w:vAlign w:val="bottom"/>
          </w:tcPr>
          <w:p>
            <w:pPr>
              <w:spacing w:after="0"/>
              <w:rPr>
                <w:sz w:val="20"/>
                <w:szCs w:val="20"/>
                <w:color w:val="auto"/>
              </w:rPr>
            </w:pPr>
            <w:r>
              <w:rPr>
                <w:rFonts w:ascii="Arial" w:cs="Arial" w:eastAsia="Arial" w:hAnsi="Arial"/>
                <w:sz w:val="16"/>
                <w:szCs w:val="16"/>
                <w:color w:val="auto"/>
              </w:rPr>
              <w:t>Natural gas liquids – barrels per day</w:t>
            </w:r>
          </w:p>
        </w:tc>
        <w:tc>
          <w:tcPr>
            <w:tcW w:w="1200" w:type="dxa"/>
            <w:vAlign w:val="bottom"/>
          </w:tcPr>
          <w:p>
            <w:pPr>
              <w:jc w:val="right"/>
              <w:ind w:right="1"/>
              <w:spacing w:after="0"/>
              <w:rPr>
                <w:sz w:val="20"/>
                <w:szCs w:val="20"/>
                <w:color w:val="auto"/>
              </w:rPr>
            </w:pPr>
            <w:r>
              <w:rPr>
                <w:rFonts w:ascii="Arial" w:cs="Arial" w:eastAsia="Arial" w:hAnsi="Arial"/>
                <w:sz w:val="16"/>
                <w:szCs w:val="16"/>
                <w:color w:val="auto"/>
              </w:rPr>
              <w:t>47</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63</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52</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60</w:t>
            </w:r>
          </w:p>
        </w:tc>
        <w:tc>
          <w:tcPr>
            <w:tcW w:w="0" w:type="dxa"/>
            <w:vAlign w:val="bottom"/>
          </w:tcPr>
          <w:p>
            <w:pPr>
              <w:spacing w:after="0"/>
              <w:rPr>
                <w:sz w:val="1"/>
                <w:szCs w:val="1"/>
                <w:color w:val="auto"/>
              </w:rPr>
            </w:pPr>
          </w:p>
        </w:tc>
      </w:tr>
      <w:tr>
        <w:trPr>
          <w:trHeight w:val="219"/>
        </w:trPr>
        <w:tc>
          <w:tcPr>
            <w:tcW w:w="6140" w:type="dxa"/>
            <w:vAlign w:val="bottom"/>
          </w:tcPr>
          <w:p>
            <w:pPr>
              <w:spacing w:after="0"/>
              <w:rPr>
                <w:sz w:val="20"/>
                <w:szCs w:val="20"/>
                <w:color w:val="auto"/>
              </w:rPr>
            </w:pPr>
            <w:r>
              <w:rPr>
                <w:rFonts w:ascii="Arial" w:cs="Arial" w:eastAsia="Arial" w:hAnsi="Arial"/>
                <w:sz w:val="16"/>
                <w:szCs w:val="16"/>
                <w:color w:val="auto"/>
              </w:rPr>
              <w:t>Natural gas – mcf per day</w:t>
            </w:r>
          </w:p>
        </w:tc>
        <w:tc>
          <w:tcPr>
            <w:tcW w:w="120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503</w:t>
            </w:r>
          </w:p>
        </w:tc>
        <w:tc>
          <w:tcPr>
            <w:tcW w:w="10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540</w:t>
            </w:r>
          </w:p>
        </w:tc>
        <w:tc>
          <w:tcPr>
            <w:tcW w:w="12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584</w:t>
            </w:r>
          </w:p>
        </w:tc>
        <w:tc>
          <w:tcPr>
            <w:tcW w:w="12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560</w:t>
            </w:r>
          </w:p>
        </w:tc>
        <w:tc>
          <w:tcPr>
            <w:tcW w:w="0" w:type="dxa"/>
            <w:vAlign w:val="bottom"/>
          </w:tcPr>
          <w:p>
            <w:pPr>
              <w:spacing w:after="0"/>
              <w:rPr>
                <w:sz w:val="1"/>
                <w:szCs w:val="1"/>
                <w:color w:val="auto"/>
              </w:rPr>
            </w:pPr>
          </w:p>
        </w:tc>
      </w:tr>
      <w:tr>
        <w:trPr>
          <w:trHeight w:val="213"/>
        </w:trPr>
        <w:tc>
          <w:tcPr>
            <w:tcW w:w="6140" w:type="dxa"/>
            <w:vAlign w:val="bottom"/>
          </w:tcPr>
          <w:p>
            <w:pPr>
              <w:ind w:left="200"/>
              <w:spacing w:after="0"/>
              <w:rPr>
                <w:sz w:val="20"/>
                <w:szCs w:val="20"/>
                <w:color w:val="auto"/>
              </w:rPr>
            </w:pPr>
            <w:r>
              <w:rPr>
                <w:rFonts w:ascii="Arial" w:cs="Arial" w:eastAsia="Arial" w:hAnsi="Arial"/>
                <w:sz w:val="16"/>
                <w:szCs w:val="16"/>
                <w:b w:val="1"/>
                <w:bCs w:val="1"/>
                <w:color w:val="auto"/>
              </w:rPr>
              <w:t>Barrels of Oil Equivalent Per Day (b)</w:t>
            </w:r>
          </w:p>
        </w:tc>
        <w:tc>
          <w:tcPr>
            <w:tcW w:w="120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279</w:t>
            </w:r>
          </w:p>
        </w:tc>
        <w:tc>
          <w:tcPr>
            <w:tcW w:w="10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317</w:t>
            </w:r>
          </w:p>
        </w:tc>
        <w:tc>
          <w:tcPr>
            <w:tcW w:w="12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326</w:t>
            </w:r>
          </w:p>
        </w:tc>
        <w:tc>
          <w:tcPr>
            <w:tcW w:w="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314</w:t>
            </w:r>
          </w:p>
        </w:tc>
        <w:tc>
          <w:tcPr>
            <w:tcW w:w="0" w:type="dxa"/>
            <w:vAlign w:val="bottom"/>
          </w:tcPr>
          <w:p>
            <w:pPr>
              <w:spacing w:after="0"/>
              <w:rPr>
                <w:sz w:val="1"/>
                <w:szCs w:val="1"/>
                <w:color w:val="auto"/>
              </w:rPr>
            </w:pPr>
          </w:p>
        </w:tc>
      </w:tr>
      <w:tr>
        <w:trPr>
          <w:trHeight w:val="20"/>
        </w:trPr>
        <w:tc>
          <w:tcPr>
            <w:tcW w:w="614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jc w:val="both"/>
        <w:ind w:left="340" w:hanging="251"/>
        <w:spacing w:after="0" w:line="247" w:lineRule="auto"/>
        <w:tabs>
          <w:tab w:leader="none" w:pos="332" w:val="left"/>
        </w:tabs>
        <w:numPr>
          <w:ilvl w:val="0"/>
          <w:numId w:val="9"/>
        </w:numPr>
        <w:rPr>
          <w:rFonts w:ascii="Arial" w:cs="Arial" w:eastAsia="Arial" w:hAnsi="Arial"/>
          <w:sz w:val="14"/>
          <w:szCs w:val="14"/>
          <w:i w:val="1"/>
          <w:iCs w:val="1"/>
          <w:color w:val="auto"/>
        </w:rPr>
      </w:pPr>
      <w:r>
        <w:rPr>
          <w:rFonts w:ascii="Arial" w:cs="Arial" w:eastAsia="Arial" w:hAnsi="Arial"/>
          <w:sz w:val="14"/>
          <w:szCs w:val="14"/>
          <w:i w:val="1"/>
          <w:iCs w:val="1"/>
          <w:color w:val="auto"/>
        </w:rPr>
        <w:t>Sales volumes for the first nine months of 2021 include 4.2 million barrels that were stored on VLCCs during 2020 and sold in the first quarter of 2021. Sales volumes for the three months ended September 30, 2020 include 2.1 million barrels that were stored on a VLCC at June 30, 2020. During the three months ended September 30, 2020, we stored 2.6 million barrels of crude oil on VLCCs bringing total stored volumes to 4.2 million barrels at September 30, 2020.</w:t>
      </w:r>
    </w:p>
    <w:p>
      <w:pPr>
        <w:jc w:val="both"/>
        <w:ind w:left="340" w:hanging="251"/>
        <w:spacing w:after="0" w:line="248" w:lineRule="auto"/>
        <w:tabs>
          <w:tab w:leader="none" w:pos="332" w:val="left"/>
        </w:tabs>
        <w:numPr>
          <w:ilvl w:val="0"/>
          <w:numId w:val="9"/>
        </w:numPr>
        <w:rPr>
          <w:rFonts w:ascii="Arial" w:cs="Arial" w:eastAsia="Arial" w:hAnsi="Arial"/>
          <w:sz w:val="14"/>
          <w:szCs w:val="14"/>
          <w:i w:val="1"/>
          <w:iCs w:val="1"/>
          <w:color w:val="auto"/>
        </w:rPr>
      </w:pPr>
      <w:r>
        <w:rPr>
          <w:rFonts w:ascii="Arial" w:cs="Arial" w:eastAsia="Arial" w:hAnsi="Arial"/>
          <w:sz w:val="14"/>
          <w:szCs w:val="14"/>
          <w:i w:val="1"/>
          <w:iCs w:val="1"/>
          <w:color w:val="auto"/>
        </w:rPr>
        <w:t>Reflects natural gas production converted based on relative energy content (six mcf equals one barrel). Barrel of oil equivalence does not necessarily result in price equivalence as the equivalent price of natural gas on a barrel of oil equivalent basis has been substantially lower than the corresponding price for crude oil over the recent past. In addition, NGLs do not sell at prices equivalent to crude oil. See the average selling prices in the table on page 22.</w:t>
      </w:r>
    </w:p>
    <w:p>
      <w:pPr>
        <w:spacing w:after="0" w:line="14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b w:val="1"/>
          <w:bCs w:val="1"/>
          <w:i w:val="1"/>
          <w:iCs w:val="1"/>
          <w:color w:val="auto"/>
        </w:rPr>
        <w:t xml:space="preserve">Marketing, including Purchased Oil and Gas: </w:t>
      </w:r>
      <w:r>
        <w:rPr>
          <w:rFonts w:ascii="Arial" w:cs="Arial" w:eastAsia="Arial" w:hAnsi="Arial"/>
          <w:sz w:val="16"/>
          <w:szCs w:val="16"/>
          <w:color w:val="auto"/>
        </w:rPr>
        <w:t>Marketing expense is mainly comprised of costs to purchase crude oil, NGL and natural gas from our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partners in Hess operated wells or other third parties, primarily in the U.S., and transportation and other distribution costs for U.S. marketing activities. Marketing expense was higher in the third quarter of 2021, compared with the third quarter of 2020, primarily due to higher third party volumes purchased and higher prices paid for purchased volumes. Marketing expense for the nine months ended September 30, 2021 included $173 million related to the cost of 4.2 million barrels of crude oil stored on two VLCCs in 2020 that were sold in the first quarter. Marketing expense for the nine months ended September 30, 2020 was reduced by $147 million for the net cost of crude oil inventory that was capitalized for the barrels loaded on VLCCs.</w:t>
      </w:r>
    </w:p>
    <w:p>
      <w:pPr>
        <w:spacing w:after="0" w:line="56" w:lineRule="exact"/>
        <w:rPr>
          <w:sz w:val="20"/>
          <w:szCs w:val="20"/>
          <w:color w:val="auto"/>
        </w:rPr>
      </w:pPr>
    </w:p>
    <w:p>
      <w:pPr>
        <w:jc w:val="both"/>
        <w:spacing w:after="0" w:line="296" w:lineRule="auto"/>
        <w:rPr>
          <w:sz w:val="20"/>
          <w:szCs w:val="20"/>
          <w:color w:val="auto"/>
        </w:rPr>
      </w:pPr>
      <w:r>
        <w:rPr>
          <w:rFonts w:ascii="Arial" w:cs="Arial" w:eastAsia="Arial" w:hAnsi="Arial"/>
          <w:sz w:val="16"/>
          <w:szCs w:val="16"/>
          <w:b w:val="1"/>
          <w:bCs w:val="1"/>
          <w:i w:val="1"/>
          <w:iCs w:val="1"/>
          <w:color w:val="auto"/>
        </w:rPr>
        <w:t xml:space="preserve">Cash Operating Costs: </w:t>
      </w:r>
      <w:r>
        <w:rPr>
          <w:rFonts w:ascii="Arial" w:cs="Arial" w:eastAsia="Arial" w:hAnsi="Arial"/>
          <w:sz w:val="16"/>
          <w:szCs w:val="16"/>
          <w:color w:val="auto"/>
        </w:rPr>
        <w:t>Cash operating costs consist of operating costs and expenses, production and severance taxes and E&amp;P general and administrative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expenses. Excluding items affecting comparability described in </w:t>
      </w:r>
      <w:r>
        <w:rPr>
          <w:rFonts w:ascii="Arial" w:cs="Arial" w:eastAsia="Arial" w:hAnsi="Arial"/>
          <w:sz w:val="16"/>
          <w:szCs w:val="16"/>
          <w:i w:val="1"/>
          <w:iCs w:val="1"/>
          <w:color w:val="auto"/>
        </w:rPr>
        <w:t>Items Affecting Comparability of Earnings Between Periods</w:t>
      </w:r>
      <w:r>
        <w:rPr>
          <w:rFonts w:ascii="Arial" w:cs="Arial" w:eastAsia="Arial" w:hAnsi="Arial"/>
          <w:sz w:val="16"/>
          <w:szCs w:val="16"/>
          <w:color w:val="auto"/>
        </w:rPr>
        <w:t xml:space="preserve"> below, cash operating costs increased in the third quarter and first nine months of 2021, compared with the corresponding periods in 2020, primarily due to higher workover activity and higher production and severance taxes associated with higher crude oil prices. On a per-unit basis, cash operating costs were higher in the third quarter and first nine months of 2021, compared with the corresponding periods in 2020 on the higher costs and the impact of lower 2021 production volumes.</w:t>
      </w:r>
    </w:p>
    <w:p>
      <w:pPr>
        <w:spacing w:after="0" w:line="53" w:lineRule="exact"/>
        <w:rPr>
          <w:sz w:val="20"/>
          <w:szCs w:val="20"/>
          <w:color w:val="auto"/>
        </w:rPr>
      </w:pPr>
    </w:p>
    <w:p>
      <w:pPr>
        <w:jc w:val="both"/>
        <w:spacing w:after="0" w:line="263" w:lineRule="auto"/>
        <w:rPr>
          <w:sz w:val="20"/>
          <w:szCs w:val="20"/>
          <w:color w:val="auto"/>
        </w:rPr>
      </w:pPr>
      <w:r>
        <w:rPr>
          <w:rFonts w:ascii="Arial" w:cs="Arial" w:eastAsia="Arial" w:hAnsi="Arial"/>
          <w:sz w:val="18"/>
          <w:szCs w:val="18"/>
          <w:b w:val="1"/>
          <w:bCs w:val="1"/>
          <w:i w:val="1"/>
          <w:iCs w:val="1"/>
          <w:color w:val="auto"/>
        </w:rPr>
        <w:t xml:space="preserve">Midstream Tariffs Expense: </w:t>
      </w:r>
      <w:r>
        <w:rPr>
          <w:rFonts w:ascii="Arial" w:cs="Arial" w:eastAsia="Arial" w:hAnsi="Arial"/>
          <w:sz w:val="18"/>
          <w:szCs w:val="18"/>
          <w:color w:val="auto"/>
        </w:rPr>
        <w:t>Tariffs expense increased in the third quarter and first nine months of 2021, compared with the corresponding periods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2020, primarily due to higher minimum volume commitments and tariff rates. We estimate Midstream tariffs expense to be approximately $295 million in the fourth quarter of 2021.</w:t>
      </w:r>
    </w:p>
    <w:p>
      <w:pPr>
        <w:spacing w:after="0" w:line="76" w:lineRule="exact"/>
        <w:rPr>
          <w:sz w:val="20"/>
          <w:szCs w:val="20"/>
          <w:color w:val="auto"/>
        </w:rPr>
      </w:pPr>
    </w:p>
    <w:p>
      <w:pPr>
        <w:jc w:val="both"/>
        <w:spacing w:after="0" w:line="279" w:lineRule="auto"/>
        <w:rPr>
          <w:sz w:val="20"/>
          <w:szCs w:val="20"/>
          <w:color w:val="auto"/>
        </w:rPr>
      </w:pPr>
      <w:r>
        <w:rPr>
          <w:rFonts w:ascii="Arial" w:cs="Arial" w:eastAsia="Arial" w:hAnsi="Arial"/>
          <w:sz w:val="17"/>
          <w:szCs w:val="17"/>
          <w:b w:val="1"/>
          <w:bCs w:val="1"/>
          <w:i w:val="1"/>
          <w:iCs w:val="1"/>
          <w:color w:val="auto"/>
        </w:rPr>
        <w:t xml:space="preserve">Depreciation, Depletion and Amortization (DD&amp;A): </w:t>
      </w:r>
      <w:r>
        <w:rPr>
          <w:rFonts w:ascii="Arial" w:cs="Arial" w:eastAsia="Arial" w:hAnsi="Arial"/>
          <w:sz w:val="17"/>
          <w:szCs w:val="17"/>
          <w:color w:val="auto"/>
        </w:rPr>
        <w:t>DD&amp;A expense was lower in the third quarter of 2021, compared with the corresponding period in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2020, primarily due to lower production volumes and lower DD&amp;A rates resulting from year-end 2020 revisions and additions to proved reserves. DD&amp;A expense was lower in the first nine months of 2021, compared with the corresponding period in 2020, due to lower production volumes and lower DD&amp;A rates resulting from the impact of first quarter 2020 impairment charges and year-end 2020 revisions and additions to proved reserves.</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5" w:name="page26"/>
    <w:bookmarkEnd w:id="25"/>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Consolidated Results of Operations (continued)</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Unit Costs: </w:t>
      </w:r>
      <w:r>
        <w:rPr>
          <w:rFonts w:ascii="Arial" w:cs="Arial" w:eastAsia="Arial" w:hAnsi="Arial"/>
          <w:sz w:val="18"/>
          <w:szCs w:val="18"/>
          <w:color w:val="auto"/>
        </w:rPr>
        <w:t>Unit cost per boe information is based on total net production volumes. Actual and forecast unit costs per boe are as follows:</w:t>
      </w:r>
    </w:p>
    <w:p>
      <w:pPr>
        <w:spacing w:after="0" w:line="136"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4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Actual</w:t>
            </w:r>
          </w:p>
        </w:tc>
        <w:tc>
          <w:tcPr>
            <w:tcW w:w="6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3360" w:type="dxa"/>
            <w:vAlign w:val="bottom"/>
            <w:tcBorders>
              <w:bottom w:val="single" w:sz="8" w:color="auto"/>
            </w:tcBorders>
            <w:gridSpan w:val="3"/>
          </w:tcPr>
          <w:p>
            <w:pPr>
              <w:ind w:left="1120"/>
              <w:spacing w:after="0"/>
              <w:rPr>
                <w:sz w:val="20"/>
                <w:szCs w:val="20"/>
                <w:color w:val="auto"/>
              </w:rPr>
            </w:pPr>
            <w:r>
              <w:rPr>
                <w:rFonts w:ascii="Arial" w:cs="Arial" w:eastAsia="Arial" w:hAnsi="Arial"/>
                <w:sz w:val="14"/>
                <w:szCs w:val="14"/>
                <w:b w:val="1"/>
                <w:bCs w:val="1"/>
                <w:color w:val="auto"/>
              </w:rPr>
              <w:t>Forecast range (a)</w:t>
            </w:r>
          </w:p>
        </w:tc>
      </w:tr>
      <w:tr>
        <w:trPr>
          <w:trHeight w:val="134"/>
        </w:trPr>
        <w:tc>
          <w:tcPr>
            <w:tcW w:w="4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700" w:type="dxa"/>
            <w:vAlign w:val="bottom"/>
            <w:gridSpan w:val="5"/>
          </w:tcPr>
          <w:p>
            <w:pPr>
              <w:jc w:val="center"/>
              <w:ind w:right="260"/>
              <w:spacing w:after="0" w:line="135" w:lineRule="exact"/>
              <w:rPr>
                <w:sz w:val="20"/>
                <w:szCs w:val="20"/>
                <w:color w:val="auto"/>
              </w:rPr>
            </w:pPr>
            <w:r>
              <w:rPr>
                <w:rFonts w:ascii="Arial" w:cs="Arial" w:eastAsia="Arial" w:hAnsi="Arial"/>
                <w:sz w:val="14"/>
                <w:szCs w:val="14"/>
                <w:b w:val="1"/>
                <w:bCs w:val="1"/>
                <w:color w:val="auto"/>
                <w:w w:val="95"/>
              </w:rPr>
              <w:t>Three Months Ended</w:t>
            </w:r>
          </w:p>
        </w:tc>
        <w:tc>
          <w:tcPr>
            <w:tcW w:w="220" w:type="dxa"/>
            <w:vAlign w:val="bottom"/>
          </w:tcPr>
          <w:p>
            <w:pPr>
              <w:spacing w:after="0"/>
              <w:rPr>
                <w:sz w:val="11"/>
                <w:szCs w:val="11"/>
                <w:color w:val="auto"/>
              </w:rPr>
            </w:pPr>
          </w:p>
        </w:tc>
        <w:tc>
          <w:tcPr>
            <w:tcW w:w="1560" w:type="dxa"/>
            <w:vAlign w:val="bottom"/>
            <w:gridSpan w:val="4"/>
          </w:tcPr>
          <w:p>
            <w:pPr>
              <w:jc w:val="right"/>
              <w:ind w:right="201"/>
              <w:spacing w:after="0" w:line="135" w:lineRule="exact"/>
              <w:rPr>
                <w:sz w:val="20"/>
                <w:szCs w:val="20"/>
                <w:color w:val="auto"/>
              </w:rPr>
            </w:pPr>
            <w:r>
              <w:rPr>
                <w:rFonts w:ascii="Arial" w:cs="Arial" w:eastAsia="Arial" w:hAnsi="Arial"/>
                <w:sz w:val="14"/>
                <w:szCs w:val="14"/>
                <w:b w:val="1"/>
                <w:bCs w:val="1"/>
                <w:color w:val="auto"/>
                <w:w w:val="96"/>
              </w:rPr>
              <w:t>Nine Months Ended</w:t>
            </w:r>
          </w:p>
        </w:tc>
        <w:tc>
          <w:tcPr>
            <w:tcW w:w="100" w:type="dxa"/>
            <w:vAlign w:val="bottom"/>
          </w:tcPr>
          <w:p>
            <w:pPr>
              <w:spacing w:after="0"/>
              <w:rPr>
                <w:sz w:val="11"/>
                <w:szCs w:val="11"/>
                <w:color w:val="auto"/>
              </w:rPr>
            </w:pPr>
          </w:p>
        </w:tc>
        <w:tc>
          <w:tcPr>
            <w:tcW w:w="1740" w:type="dxa"/>
            <w:vAlign w:val="bottom"/>
            <w:gridSpan w:val="2"/>
          </w:tcPr>
          <w:p>
            <w:pPr>
              <w:jc w:val="center"/>
              <w:ind w:right="120"/>
              <w:spacing w:after="0" w:line="135" w:lineRule="exact"/>
              <w:rPr>
                <w:sz w:val="20"/>
                <w:szCs w:val="20"/>
                <w:color w:val="auto"/>
              </w:rPr>
            </w:pPr>
            <w:r>
              <w:rPr>
                <w:rFonts w:ascii="Arial" w:cs="Arial" w:eastAsia="Arial" w:hAnsi="Arial"/>
                <w:sz w:val="14"/>
                <w:szCs w:val="14"/>
                <w:b w:val="1"/>
                <w:bCs w:val="1"/>
                <w:color w:val="auto"/>
                <w:w w:val="93"/>
              </w:rPr>
              <w:t>Three Months Ended</w:t>
            </w:r>
          </w:p>
        </w:tc>
        <w:tc>
          <w:tcPr>
            <w:tcW w:w="162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2"/>
              </w:rPr>
              <w:t>Twelve Months Ended</w:t>
            </w:r>
          </w:p>
        </w:tc>
      </w:tr>
      <w:tr>
        <w:trPr>
          <w:trHeight w:val="188"/>
        </w:trPr>
        <w:tc>
          <w:tcPr>
            <w:tcW w:w="4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700" w:type="dxa"/>
            <w:vAlign w:val="bottom"/>
            <w:gridSpan w:val="5"/>
          </w:tcPr>
          <w:p>
            <w:pPr>
              <w:jc w:val="center"/>
              <w:ind w:right="260"/>
              <w:spacing w:after="0"/>
              <w:rPr>
                <w:sz w:val="20"/>
                <w:szCs w:val="20"/>
                <w:color w:val="auto"/>
              </w:rPr>
            </w:pPr>
            <w:r>
              <w:rPr>
                <w:rFonts w:ascii="Arial" w:cs="Arial" w:eastAsia="Arial" w:hAnsi="Arial"/>
                <w:sz w:val="14"/>
                <w:szCs w:val="14"/>
                <w:b w:val="1"/>
                <w:bCs w:val="1"/>
                <w:color w:val="auto"/>
                <w:w w:val="91"/>
              </w:rPr>
              <w:t>September 30,</w:t>
            </w:r>
          </w:p>
        </w:tc>
        <w:tc>
          <w:tcPr>
            <w:tcW w:w="220" w:type="dxa"/>
            <w:vAlign w:val="bottom"/>
          </w:tcPr>
          <w:p>
            <w:pPr>
              <w:spacing w:after="0"/>
              <w:rPr>
                <w:sz w:val="16"/>
                <w:szCs w:val="16"/>
                <w:color w:val="auto"/>
              </w:rPr>
            </w:pPr>
          </w:p>
        </w:tc>
        <w:tc>
          <w:tcPr>
            <w:tcW w:w="1660" w:type="dxa"/>
            <w:vAlign w:val="bottom"/>
            <w:gridSpan w:val="5"/>
          </w:tcPr>
          <w:p>
            <w:pPr>
              <w:ind w:left="240"/>
              <w:spacing w:after="0"/>
              <w:rPr>
                <w:sz w:val="20"/>
                <w:szCs w:val="20"/>
                <w:color w:val="auto"/>
              </w:rPr>
            </w:pPr>
            <w:r>
              <w:rPr>
                <w:rFonts w:ascii="Arial" w:cs="Arial" w:eastAsia="Arial" w:hAnsi="Arial"/>
                <w:sz w:val="14"/>
                <w:szCs w:val="14"/>
                <w:b w:val="1"/>
                <w:bCs w:val="1"/>
                <w:color w:val="auto"/>
              </w:rPr>
              <w:t>September 30,</w:t>
            </w:r>
          </w:p>
        </w:tc>
        <w:tc>
          <w:tcPr>
            <w:tcW w:w="17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December 31,</w:t>
            </w:r>
          </w:p>
        </w:tc>
        <w:tc>
          <w:tcPr>
            <w:tcW w:w="1620" w:type="dxa"/>
            <w:vAlign w:val="bottom"/>
          </w:tcPr>
          <w:p>
            <w:pPr>
              <w:jc w:val="center"/>
              <w:spacing w:after="0"/>
              <w:rPr>
                <w:sz w:val="20"/>
                <w:szCs w:val="20"/>
                <w:color w:val="auto"/>
              </w:rPr>
            </w:pPr>
            <w:r>
              <w:rPr>
                <w:rFonts w:ascii="Arial" w:cs="Arial" w:eastAsia="Arial" w:hAnsi="Arial"/>
                <w:sz w:val="14"/>
                <w:szCs w:val="14"/>
                <w:b w:val="1"/>
                <w:bCs w:val="1"/>
                <w:color w:val="auto"/>
                <w:w w:val="92"/>
              </w:rPr>
              <w:t>December 31,</w:t>
            </w:r>
          </w:p>
        </w:tc>
      </w:tr>
      <w:tr>
        <w:trPr>
          <w:trHeight w:val="181"/>
        </w:trPr>
        <w:tc>
          <w:tcPr>
            <w:tcW w:w="4100" w:type="dxa"/>
            <w:vAlign w:val="bottom"/>
          </w:tcPr>
          <w:p>
            <w:pPr>
              <w:spacing w:after="0"/>
              <w:rPr>
                <w:sz w:val="15"/>
                <w:szCs w:val="15"/>
                <w:color w:val="auto"/>
              </w:rPr>
            </w:pPr>
          </w:p>
        </w:tc>
        <w:tc>
          <w:tcPr>
            <w:tcW w:w="160" w:type="dxa"/>
            <w:vAlign w:val="bottom"/>
            <w:tcBorders>
              <w:top w:val="single" w:sz="8" w:color="auto"/>
              <w:bottom w:val="single" w:sz="8" w:color="auto"/>
            </w:tcBorders>
          </w:tcPr>
          <w:p>
            <w:pPr>
              <w:spacing w:after="0"/>
              <w:rPr>
                <w:sz w:val="15"/>
                <w:szCs w:val="15"/>
                <w:color w:val="auto"/>
              </w:rPr>
            </w:pPr>
          </w:p>
        </w:tc>
        <w:tc>
          <w:tcPr>
            <w:tcW w:w="660" w:type="dxa"/>
            <w:vAlign w:val="bottom"/>
            <w:tcBorders>
              <w:top w:val="single" w:sz="8" w:color="auto"/>
              <w:bottom w:val="single" w:sz="8" w:color="auto"/>
            </w:tcBorders>
          </w:tcPr>
          <w:p>
            <w:pPr>
              <w:jc w:val="right"/>
              <w:ind w:right="184"/>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top w:val="single" w:sz="8" w:color="auto"/>
            </w:tcBorders>
          </w:tcPr>
          <w:p>
            <w:pPr>
              <w:spacing w:after="0"/>
              <w:rPr>
                <w:sz w:val="15"/>
                <w:szCs w:val="15"/>
                <w:color w:val="auto"/>
              </w:rPr>
            </w:pPr>
          </w:p>
        </w:tc>
        <w:tc>
          <w:tcPr>
            <w:tcW w:w="180" w:type="dxa"/>
            <w:vAlign w:val="bottom"/>
            <w:tcBorders>
              <w:top w:val="single" w:sz="8" w:color="auto"/>
              <w:bottom w:val="single" w:sz="8" w:color="auto"/>
            </w:tcBorders>
          </w:tcPr>
          <w:p>
            <w:pPr>
              <w:spacing w:after="0"/>
              <w:rPr>
                <w:sz w:val="15"/>
                <w:szCs w:val="15"/>
                <w:color w:val="auto"/>
              </w:rPr>
            </w:pPr>
          </w:p>
        </w:tc>
        <w:tc>
          <w:tcPr>
            <w:tcW w:w="640" w:type="dxa"/>
            <w:vAlign w:val="bottom"/>
            <w:tcBorders>
              <w:top w:val="single" w:sz="8" w:color="auto"/>
              <w:bottom w:val="single" w:sz="8" w:color="auto"/>
            </w:tcBorders>
          </w:tcPr>
          <w:p>
            <w:pPr>
              <w:jc w:val="right"/>
              <w:ind w:right="183"/>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5"/>
                <w:szCs w:val="15"/>
                <w:color w:val="auto"/>
              </w:rPr>
            </w:pPr>
          </w:p>
        </w:tc>
        <w:tc>
          <w:tcPr>
            <w:tcW w:w="220" w:type="dxa"/>
            <w:vAlign w:val="bottom"/>
            <w:tcBorders>
              <w:top w:val="single" w:sz="8" w:color="auto"/>
              <w:bottom w:val="single" w:sz="8" w:color="auto"/>
            </w:tcBorders>
          </w:tcPr>
          <w:p>
            <w:pPr>
              <w:spacing w:after="0"/>
              <w:rPr>
                <w:sz w:val="15"/>
                <w:szCs w:val="15"/>
                <w:color w:val="auto"/>
              </w:rPr>
            </w:pPr>
          </w:p>
        </w:tc>
        <w:tc>
          <w:tcPr>
            <w:tcW w:w="620" w:type="dxa"/>
            <w:vAlign w:val="bottom"/>
            <w:tcBorders>
              <w:top w:val="single" w:sz="8" w:color="auto"/>
              <w:bottom w:val="single" w:sz="8" w:color="auto"/>
            </w:tcBorders>
          </w:tcPr>
          <w:p>
            <w:pPr>
              <w:jc w:val="right"/>
              <w:ind w:right="204"/>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tcBorders>
          </w:tcPr>
          <w:p>
            <w:pPr>
              <w:spacing w:after="0"/>
              <w:rPr>
                <w:sz w:val="15"/>
                <w:szCs w:val="15"/>
                <w:color w:val="auto"/>
              </w:rPr>
            </w:pPr>
          </w:p>
        </w:tc>
        <w:tc>
          <w:tcPr>
            <w:tcW w:w="180" w:type="dxa"/>
            <w:vAlign w:val="bottom"/>
            <w:tcBorders>
              <w:top w:val="single" w:sz="8" w:color="auto"/>
              <w:bottom w:val="single" w:sz="8" w:color="auto"/>
            </w:tcBorders>
          </w:tcPr>
          <w:p>
            <w:pPr>
              <w:spacing w:after="0"/>
              <w:rPr>
                <w:sz w:val="15"/>
                <w:szCs w:val="15"/>
                <w:color w:val="auto"/>
              </w:rPr>
            </w:pPr>
          </w:p>
        </w:tc>
        <w:tc>
          <w:tcPr>
            <w:tcW w:w="660" w:type="dxa"/>
            <w:vAlign w:val="bottom"/>
            <w:tcBorders>
              <w:top w:val="single" w:sz="8" w:color="auto"/>
              <w:bottom w:val="single" w:sz="8" w:color="auto"/>
            </w:tcBorders>
          </w:tcPr>
          <w:p>
            <w:pPr>
              <w:jc w:val="right"/>
              <w:ind w:right="201"/>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5"/>
                <w:szCs w:val="15"/>
                <w:color w:val="auto"/>
              </w:rPr>
            </w:pPr>
          </w:p>
        </w:tc>
        <w:tc>
          <w:tcPr>
            <w:tcW w:w="16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2021</w:t>
            </w:r>
          </w:p>
        </w:tc>
        <w:tc>
          <w:tcPr>
            <w:tcW w:w="120" w:type="dxa"/>
            <w:vAlign w:val="bottom"/>
          </w:tcPr>
          <w:p>
            <w:pPr>
              <w:spacing w:after="0"/>
              <w:rPr>
                <w:sz w:val="15"/>
                <w:szCs w:val="15"/>
                <w:color w:val="auto"/>
              </w:rPr>
            </w:pPr>
          </w:p>
        </w:tc>
        <w:tc>
          <w:tcPr>
            <w:tcW w:w="16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2021</w:t>
            </w:r>
          </w:p>
        </w:tc>
      </w:tr>
      <w:tr>
        <w:trPr>
          <w:trHeight w:val="206"/>
        </w:trPr>
        <w:tc>
          <w:tcPr>
            <w:tcW w:w="4100" w:type="dxa"/>
            <w:vAlign w:val="bottom"/>
          </w:tcPr>
          <w:p>
            <w:pPr>
              <w:spacing w:after="0"/>
              <w:rPr>
                <w:sz w:val="20"/>
                <w:szCs w:val="20"/>
                <w:color w:val="auto"/>
              </w:rPr>
            </w:pPr>
            <w:r>
              <w:rPr>
                <w:rFonts w:ascii="Arial" w:cs="Arial" w:eastAsia="Arial" w:hAnsi="Arial"/>
                <w:sz w:val="16"/>
                <w:szCs w:val="16"/>
                <w:color w:val="auto"/>
              </w:rPr>
              <w:t>Cash operating costs (b)</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12.76</w:t>
            </w:r>
          </w:p>
        </w:tc>
        <w:tc>
          <w:tcPr>
            <w:tcW w:w="120" w:type="dxa"/>
            <w:vAlign w:val="bottom"/>
          </w:tcPr>
          <w:p>
            <w:pPr>
              <w:spacing w:after="0"/>
              <w:rPr>
                <w:sz w:val="17"/>
                <w:szCs w:val="17"/>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9.86</w:t>
            </w:r>
          </w:p>
        </w:tc>
        <w:tc>
          <w:tcPr>
            <w:tcW w:w="100" w:type="dxa"/>
            <w:vAlign w:val="bottom"/>
          </w:tcPr>
          <w:p>
            <w:pPr>
              <w:spacing w:after="0"/>
              <w:rPr>
                <w:sz w:val="17"/>
                <w:szCs w:val="17"/>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620" w:type="dxa"/>
            <w:vAlign w:val="bottom"/>
          </w:tcPr>
          <w:p>
            <w:pPr>
              <w:jc w:val="right"/>
              <w:ind w:right="4"/>
              <w:spacing w:after="0"/>
              <w:rPr>
                <w:sz w:val="20"/>
                <w:szCs w:val="20"/>
                <w:color w:val="auto"/>
              </w:rPr>
            </w:pPr>
            <w:r>
              <w:rPr>
                <w:rFonts w:ascii="Arial" w:cs="Arial" w:eastAsia="Arial" w:hAnsi="Arial"/>
                <w:sz w:val="16"/>
                <w:szCs w:val="16"/>
                <w:color w:val="auto"/>
              </w:rPr>
              <w:t>11.34</w:t>
            </w:r>
          </w:p>
        </w:tc>
        <w:tc>
          <w:tcPr>
            <w:tcW w:w="100" w:type="dxa"/>
            <w:vAlign w:val="bottom"/>
          </w:tcPr>
          <w:p>
            <w:pPr>
              <w:spacing w:after="0"/>
              <w:rPr>
                <w:sz w:val="17"/>
                <w:szCs w:val="17"/>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ind w:right="1"/>
              <w:spacing w:after="0"/>
              <w:rPr>
                <w:sz w:val="20"/>
                <w:szCs w:val="20"/>
                <w:color w:val="auto"/>
              </w:rPr>
            </w:pPr>
            <w:r>
              <w:rPr>
                <w:rFonts w:ascii="Arial" w:cs="Arial" w:eastAsia="Arial" w:hAnsi="Arial"/>
                <w:sz w:val="16"/>
                <w:szCs w:val="16"/>
                <w:color w:val="auto"/>
              </w:rPr>
              <w:t>9.45</w:t>
            </w:r>
          </w:p>
        </w:tc>
        <w:tc>
          <w:tcPr>
            <w:tcW w:w="100" w:type="dxa"/>
            <w:vAlign w:val="bottom"/>
          </w:tcPr>
          <w:p>
            <w:pPr>
              <w:spacing w:after="0"/>
              <w:rPr>
                <w:sz w:val="17"/>
                <w:szCs w:val="17"/>
                <w:color w:val="auto"/>
              </w:rPr>
            </w:pPr>
          </w:p>
        </w:tc>
        <w:tc>
          <w:tcPr>
            <w:tcW w:w="1740" w:type="dxa"/>
            <w:vAlign w:val="bottom"/>
            <w:gridSpan w:val="2"/>
          </w:tcPr>
          <w:p>
            <w:pPr>
              <w:jc w:val="center"/>
              <w:ind w:right="120"/>
              <w:spacing w:after="0"/>
              <w:rPr>
                <w:sz w:val="20"/>
                <w:szCs w:val="20"/>
                <w:color w:val="auto"/>
              </w:rPr>
            </w:pPr>
            <w:r>
              <w:rPr>
                <w:rFonts w:ascii="Arial" w:cs="Arial" w:eastAsia="Arial" w:hAnsi="Arial"/>
                <w:sz w:val="16"/>
                <w:szCs w:val="16"/>
                <w:color w:val="auto"/>
                <w:w w:val="92"/>
              </w:rPr>
              <w:t>$12.00 — $12.50</w:t>
            </w:r>
          </w:p>
        </w:tc>
        <w:tc>
          <w:tcPr>
            <w:tcW w:w="1620" w:type="dxa"/>
            <w:vAlign w:val="bottom"/>
          </w:tcPr>
          <w:p>
            <w:pPr>
              <w:jc w:val="center"/>
              <w:spacing w:after="0"/>
              <w:rPr>
                <w:sz w:val="20"/>
                <w:szCs w:val="20"/>
                <w:color w:val="auto"/>
              </w:rPr>
            </w:pPr>
            <w:r>
              <w:rPr>
                <w:rFonts w:ascii="Arial" w:cs="Arial" w:eastAsia="Arial" w:hAnsi="Arial"/>
                <w:sz w:val="16"/>
                <w:szCs w:val="16"/>
                <w:color w:val="auto"/>
                <w:w w:val="91"/>
              </w:rPr>
              <w:t>$11.75 — $12.00</w:t>
            </w:r>
          </w:p>
        </w:tc>
      </w:tr>
      <w:tr>
        <w:trPr>
          <w:trHeight w:val="216"/>
        </w:trPr>
        <w:tc>
          <w:tcPr>
            <w:tcW w:w="4100" w:type="dxa"/>
            <w:vAlign w:val="bottom"/>
          </w:tcPr>
          <w:p>
            <w:pPr>
              <w:spacing w:after="0"/>
              <w:rPr>
                <w:sz w:val="20"/>
                <w:szCs w:val="20"/>
                <w:color w:val="auto"/>
              </w:rPr>
            </w:pPr>
            <w:r>
              <w:rPr>
                <w:rFonts w:ascii="Arial" w:cs="Arial" w:eastAsia="Arial" w:hAnsi="Arial"/>
                <w:sz w:val="16"/>
                <w:szCs w:val="16"/>
                <w:color w:val="auto"/>
              </w:rPr>
              <w:t>DD&amp;A (c)</w:t>
            </w:r>
          </w:p>
        </w:tc>
        <w:tc>
          <w:tcPr>
            <w:tcW w:w="16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11.77</w:t>
            </w:r>
          </w:p>
        </w:tc>
        <w:tc>
          <w:tcPr>
            <w:tcW w:w="12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16.16</w:t>
            </w:r>
          </w:p>
        </w:tc>
        <w:tc>
          <w:tcPr>
            <w:tcW w:w="10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ind w:right="4"/>
              <w:spacing w:after="0"/>
              <w:rPr>
                <w:sz w:val="20"/>
                <w:szCs w:val="20"/>
                <w:color w:val="auto"/>
              </w:rPr>
            </w:pPr>
            <w:r>
              <w:rPr>
                <w:rFonts w:ascii="Arial" w:cs="Arial" w:eastAsia="Arial" w:hAnsi="Arial"/>
                <w:sz w:val="16"/>
                <w:szCs w:val="16"/>
                <w:color w:val="auto"/>
              </w:rPr>
              <w:t>11.72</w:t>
            </w: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ind w:right="1"/>
              <w:spacing w:after="0"/>
              <w:rPr>
                <w:sz w:val="20"/>
                <w:szCs w:val="20"/>
                <w:color w:val="auto"/>
              </w:rPr>
            </w:pPr>
            <w:r>
              <w:rPr>
                <w:rFonts w:ascii="Arial" w:cs="Arial" w:eastAsia="Arial" w:hAnsi="Arial"/>
                <w:sz w:val="16"/>
                <w:szCs w:val="16"/>
                <w:color w:val="auto"/>
              </w:rPr>
              <w:t>16.02</w:t>
            </w:r>
          </w:p>
        </w:tc>
        <w:tc>
          <w:tcPr>
            <w:tcW w:w="100" w:type="dxa"/>
            <w:vAlign w:val="bottom"/>
          </w:tcPr>
          <w:p>
            <w:pPr>
              <w:spacing w:after="0"/>
              <w:rPr>
                <w:sz w:val="18"/>
                <w:szCs w:val="18"/>
                <w:color w:val="auto"/>
              </w:rPr>
            </w:pPr>
          </w:p>
        </w:tc>
        <w:tc>
          <w:tcPr>
            <w:tcW w:w="1620" w:type="dxa"/>
            <w:vAlign w:val="bottom"/>
            <w:tcBorders>
              <w:bottom w:val="single" w:sz="8" w:color="auto"/>
            </w:tcBorders>
          </w:tcPr>
          <w:p>
            <w:pPr>
              <w:ind w:left="180"/>
              <w:spacing w:after="0"/>
              <w:rPr>
                <w:sz w:val="20"/>
                <w:szCs w:val="20"/>
                <w:color w:val="auto"/>
              </w:rPr>
            </w:pPr>
            <w:r>
              <w:rPr>
                <w:rFonts w:ascii="Arial" w:cs="Arial" w:eastAsia="Arial" w:hAnsi="Arial"/>
                <w:sz w:val="16"/>
                <w:szCs w:val="16"/>
                <w:color w:val="auto"/>
              </w:rPr>
              <w:t>13.00 — 13.50</w:t>
            </w:r>
          </w:p>
        </w:tc>
        <w:tc>
          <w:tcPr>
            <w:tcW w:w="120" w:type="dxa"/>
            <w:vAlign w:val="bottom"/>
          </w:tcPr>
          <w:p>
            <w:pPr>
              <w:spacing w:after="0"/>
              <w:rPr>
                <w:sz w:val="18"/>
                <w:szCs w:val="18"/>
                <w:color w:val="auto"/>
              </w:rPr>
            </w:pPr>
          </w:p>
        </w:tc>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1"/>
              </w:rPr>
              <w:t>12.50 — 13.00</w:t>
            </w:r>
          </w:p>
        </w:tc>
      </w:tr>
      <w:tr>
        <w:trPr>
          <w:trHeight w:val="213"/>
        </w:trPr>
        <w:tc>
          <w:tcPr>
            <w:tcW w:w="4100" w:type="dxa"/>
            <w:vAlign w:val="bottom"/>
          </w:tcPr>
          <w:p>
            <w:pPr>
              <w:spacing w:after="0"/>
              <w:rPr>
                <w:sz w:val="20"/>
                <w:szCs w:val="20"/>
                <w:color w:val="auto"/>
              </w:rPr>
            </w:pPr>
            <w:r>
              <w:rPr>
                <w:rFonts w:ascii="Arial" w:cs="Arial" w:eastAsia="Arial" w:hAnsi="Arial"/>
                <w:sz w:val="16"/>
                <w:szCs w:val="16"/>
                <w:b w:val="1"/>
                <w:bCs w:val="1"/>
                <w:color w:val="auto"/>
              </w:rPr>
              <w:t>Total Production Unit Costs</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spacing w:after="0"/>
              <w:rPr>
                <w:sz w:val="20"/>
                <w:szCs w:val="20"/>
                <w:color w:val="auto"/>
              </w:rPr>
            </w:pPr>
            <w:r>
              <w:rPr>
                <w:rFonts w:ascii="Arial" w:cs="Arial" w:eastAsia="Arial" w:hAnsi="Arial"/>
                <w:sz w:val="16"/>
                <w:szCs w:val="16"/>
                <w:color w:val="auto"/>
              </w:rPr>
              <w:t>24.53</w:t>
            </w:r>
          </w:p>
        </w:tc>
        <w:tc>
          <w:tcPr>
            <w:tcW w:w="12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26.02</w:t>
            </w:r>
          </w:p>
        </w:tc>
        <w:tc>
          <w:tcPr>
            <w:tcW w:w="100" w:type="dxa"/>
            <w:vAlign w:val="bottom"/>
          </w:tcPr>
          <w:p>
            <w:pPr>
              <w:spacing w:after="0"/>
              <w:rPr>
                <w:sz w:val="18"/>
                <w:szCs w:val="18"/>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620" w:type="dxa"/>
            <w:vAlign w:val="bottom"/>
          </w:tcPr>
          <w:p>
            <w:pPr>
              <w:jc w:val="right"/>
              <w:ind w:right="4"/>
              <w:spacing w:after="0"/>
              <w:rPr>
                <w:sz w:val="20"/>
                <w:szCs w:val="20"/>
                <w:color w:val="auto"/>
              </w:rPr>
            </w:pPr>
            <w:r>
              <w:rPr>
                <w:rFonts w:ascii="Arial" w:cs="Arial" w:eastAsia="Arial" w:hAnsi="Arial"/>
                <w:sz w:val="16"/>
                <w:szCs w:val="16"/>
                <w:color w:val="auto"/>
              </w:rPr>
              <w:t>23.06</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ind w:right="1"/>
              <w:spacing w:after="0"/>
              <w:rPr>
                <w:sz w:val="20"/>
                <w:szCs w:val="20"/>
                <w:color w:val="auto"/>
              </w:rPr>
            </w:pPr>
            <w:r>
              <w:rPr>
                <w:rFonts w:ascii="Arial" w:cs="Arial" w:eastAsia="Arial" w:hAnsi="Arial"/>
                <w:sz w:val="16"/>
                <w:szCs w:val="16"/>
                <w:color w:val="auto"/>
              </w:rPr>
              <w:t>25.47</w:t>
            </w:r>
          </w:p>
        </w:tc>
        <w:tc>
          <w:tcPr>
            <w:tcW w:w="100" w:type="dxa"/>
            <w:vAlign w:val="bottom"/>
          </w:tcPr>
          <w:p>
            <w:pPr>
              <w:spacing w:after="0"/>
              <w:rPr>
                <w:sz w:val="18"/>
                <w:szCs w:val="18"/>
                <w:color w:val="auto"/>
              </w:rPr>
            </w:pPr>
          </w:p>
        </w:tc>
        <w:tc>
          <w:tcPr>
            <w:tcW w:w="1740" w:type="dxa"/>
            <w:vAlign w:val="bottom"/>
            <w:gridSpan w:val="2"/>
          </w:tcPr>
          <w:p>
            <w:pPr>
              <w:jc w:val="center"/>
              <w:ind w:right="120"/>
              <w:spacing w:after="0"/>
              <w:rPr>
                <w:sz w:val="20"/>
                <w:szCs w:val="20"/>
                <w:color w:val="auto"/>
              </w:rPr>
            </w:pPr>
            <w:r>
              <w:rPr>
                <w:rFonts w:ascii="Arial" w:cs="Arial" w:eastAsia="Arial" w:hAnsi="Arial"/>
                <w:sz w:val="16"/>
                <w:szCs w:val="16"/>
                <w:color w:val="auto"/>
                <w:w w:val="92"/>
              </w:rPr>
              <w:t>$25.00 — $26.00</w:t>
            </w:r>
          </w:p>
        </w:tc>
        <w:tc>
          <w:tcPr>
            <w:tcW w:w="1620" w:type="dxa"/>
            <w:vAlign w:val="bottom"/>
          </w:tcPr>
          <w:p>
            <w:pPr>
              <w:jc w:val="center"/>
              <w:spacing w:after="0"/>
              <w:rPr>
                <w:sz w:val="20"/>
                <w:szCs w:val="20"/>
                <w:color w:val="auto"/>
              </w:rPr>
            </w:pPr>
            <w:r>
              <w:rPr>
                <w:rFonts w:ascii="Arial" w:cs="Arial" w:eastAsia="Arial" w:hAnsi="Arial"/>
                <w:sz w:val="16"/>
                <w:szCs w:val="16"/>
                <w:color w:val="auto"/>
                <w:w w:val="92"/>
              </w:rPr>
              <w:t>$24.25 — $25.00</w:t>
            </w:r>
          </w:p>
        </w:tc>
      </w:tr>
      <w:tr>
        <w:trPr>
          <w:trHeight w:val="23"/>
        </w:trPr>
        <w:tc>
          <w:tcPr>
            <w:tcW w:w="4100" w:type="dxa"/>
            <w:vAlign w:val="bottom"/>
          </w:tcPr>
          <w:p>
            <w:pPr>
              <w:spacing w:after="0"/>
              <w:rPr>
                <w:sz w:val="2"/>
                <w:szCs w:val="2"/>
                <w:color w:val="auto"/>
              </w:rPr>
            </w:pPr>
          </w:p>
        </w:tc>
        <w:tc>
          <w:tcPr>
            <w:tcW w:w="160" w:type="dxa"/>
            <w:vAlign w:val="bottom"/>
            <w:tcBorders>
              <w:top w:val="single" w:sz="8" w:color="auto"/>
              <w:bottom w:val="single" w:sz="8" w:color="auto"/>
            </w:tcBorders>
          </w:tcPr>
          <w:p>
            <w:pPr>
              <w:spacing w:after="0"/>
              <w:rPr>
                <w:sz w:val="2"/>
                <w:szCs w:val="2"/>
                <w:color w:val="auto"/>
              </w:rPr>
            </w:pPr>
          </w:p>
        </w:tc>
        <w:tc>
          <w:tcPr>
            <w:tcW w:w="660" w:type="dxa"/>
            <w:vAlign w:val="bottom"/>
            <w:tcBorders>
              <w:top w:val="single" w:sz="8" w:color="auto"/>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top w:val="single" w:sz="8" w:color="auto"/>
              <w:bottom w:val="single" w:sz="8" w:color="auto"/>
            </w:tcBorders>
          </w:tcPr>
          <w:p>
            <w:pPr>
              <w:spacing w:after="0"/>
              <w:rPr>
                <w:sz w:val="2"/>
                <w:szCs w:val="2"/>
                <w:color w:val="auto"/>
              </w:rPr>
            </w:pPr>
          </w:p>
        </w:tc>
        <w:tc>
          <w:tcPr>
            <w:tcW w:w="64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top w:val="single" w:sz="8" w:color="auto"/>
              <w:bottom w:val="single" w:sz="8" w:color="auto"/>
            </w:tcBorders>
          </w:tcPr>
          <w:p>
            <w:pPr>
              <w:spacing w:after="0"/>
              <w:rPr>
                <w:sz w:val="2"/>
                <w:szCs w:val="2"/>
                <w:color w:val="auto"/>
              </w:rPr>
            </w:pPr>
          </w:p>
        </w:tc>
        <w:tc>
          <w:tcPr>
            <w:tcW w:w="62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top w:val="single" w:sz="8" w:color="auto"/>
              <w:bottom w:val="single" w:sz="8" w:color="auto"/>
            </w:tcBorders>
          </w:tcPr>
          <w:p>
            <w:pPr>
              <w:spacing w:after="0"/>
              <w:rPr>
                <w:sz w:val="2"/>
                <w:szCs w:val="2"/>
                <w:color w:val="auto"/>
              </w:rPr>
            </w:pPr>
          </w:p>
        </w:tc>
        <w:tc>
          <w:tcPr>
            <w:tcW w:w="66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tcBorders>
              <w:top w:val="single" w:sz="8" w:color="auto"/>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20" w:type="dxa"/>
            <w:vAlign w:val="bottom"/>
            <w:tcBorders>
              <w:top w:val="single" w:sz="8" w:color="auto"/>
              <w:bottom w:val="single" w:sz="8" w:color="auto"/>
            </w:tcBorders>
          </w:tcPr>
          <w:p>
            <w:pPr>
              <w:spacing w:after="0"/>
              <w:rPr>
                <w:sz w:val="2"/>
                <w:szCs w:val="2"/>
                <w:color w:val="auto"/>
              </w:rPr>
            </w:pPr>
          </w:p>
        </w:tc>
      </w:tr>
    </w:tbl>
    <w:p>
      <w:pPr>
        <w:spacing w:after="0" w:line="170" w:lineRule="exact"/>
        <w:rPr>
          <w:sz w:val="20"/>
          <w:szCs w:val="20"/>
          <w:color w:val="auto"/>
        </w:rPr>
      </w:pPr>
    </w:p>
    <w:p>
      <w:pPr>
        <w:ind w:left="320" w:hanging="231"/>
        <w:spacing w:after="0"/>
        <w:tabs>
          <w:tab w:leader="none" w:pos="320" w:val="left"/>
        </w:tabs>
        <w:numPr>
          <w:ilvl w:val="0"/>
          <w:numId w:val="10"/>
        </w:numPr>
        <w:rPr>
          <w:rFonts w:ascii="Arial" w:cs="Arial" w:eastAsia="Arial" w:hAnsi="Arial"/>
          <w:sz w:val="14"/>
          <w:szCs w:val="14"/>
          <w:i w:val="1"/>
          <w:iCs w:val="1"/>
          <w:color w:val="auto"/>
        </w:rPr>
      </w:pPr>
      <w:r>
        <w:rPr>
          <w:rFonts w:ascii="Arial" w:cs="Arial" w:eastAsia="Arial" w:hAnsi="Arial"/>
          <w:sz w:val="14"/>
          <w:szCs w:val="14"/>
          <w:i w:val="1"/>
          <w:iCs w:val="1"/>
          <w:color w:val="auto"/>
        </w:rPr>
        <w:t>Forecast information excludes any contribution from Libya.</w:t>
      </w:r>
    </w:p>
    <w:p>
      <w:pPr>
        <w:spacing w:after="0" w:line="13" w:lineRule="exact"/>
        <w:rPr>
          <w:rFonts w:ascii="Arial" w:cs="Arial" w:eastAsia="Arial" w:hAnsi="Arial"/>
          <w:sz w:val="14"/>
          <w:szCs w:val="14"/>
          <w:i w:val="1"/>
          <w:iCs w:val="1"/>
          <w:color w:val="auto"/>
        </w:rPr>
      </w:pPr>
    </w:p>
    <w:p>
      <w:pPr>
        <w:ind w:left="340" w:hanging="251"/>
        <w:spacing w:after="0" w:line="241" w:lineRule="auto"/>
        <w:tabs>
          <w:tab w:leader="none" w:pos="332" w:val="left"/>
        </w:tabs>
        <w:numPr>
          <w:ilvl w:val="0"/>
          <w:numId w:val="10"/>
        </w:numPr>
        <w:rPr>
          <w:rFonts w:ascii="Arial" w:cs="Arial" w:eastAsia="Arial" w:hAnsi="Arial"/>
          <w:sz w:val="14"/>
          <w:szCs w:val="14"/>
          <w:i w:val="1"/>
          <w:iCs w:val="1"/>
          <w:color w:val="auto"/>
        </w:rPr>
      </w:pPr>
      <w:r>
        <w:rPr>
          <w:rFonts w:ascii="Arial" w:cs="Arial" w:eastAsia="Arial" w:hAnsi="Arial"/>
          <w:sz w:val="14"/>
          <w:szCs w:val="14"/>
          <w:i w:val="1"/>
          <w:iCs w:val="1"/>
          <w:color w:val="auto"/>
        </w:rPr>
        <w:t>Cash operating costs per boe, excluding Libya, were $13.45 and $11.86 in the three and nine months ended September 30, 2021, respectively, compared with $9.69 and $9.31 in the same periods of 2020, respectively.</w:t>
      </w:r>
    </w:p>
    <w:p>
      <w:pPr>
        <w:ind w:left="340" w:hanging="251"/>
        <w:spacing w:after="0" w:line="255" w:lineRule="auto"/>
        <w:tabs>
          <w:tab w:leader="none" w:pos="337" w:val="left"/>
        </w:tabs>
        <w:numPr>
          <w:ilvl w:val="0"/>
          <w:numId w:val="10"/>
        </w:numPr>
        <w:rPr>
          <w:rFonts w:ascii="Arial" w:cs="Arial" w:eastAsia="Arial" w:hAnsi="Arial"/>
          <w:sz w:val="14"/>
          <w:szCs w:val="14"/>
          <w:i w:val="1"/>
          <w:iCs w:val="1"/>
          <w:color w:val="auto"/>
        </w:rPr>
      </w:pPr>
      <w:r>
        <w:rPr>
          <w:rFonts w:ascii="Arial" w:cs="Arial" w:eastAsia="Arial" w:hAnsi="Arial"/>
          <w:sz w:val="14"/>
          <w:szCs w:val="14"/>
          <w:i w:val="1"/>
          <w:iCs w:val="1"/>
          <w:color w:val="auto"/>
        </w:rPr>
        <w:t>DD&amp;A per boe, excluding Libya, was $12.38 and $12.29 in the three and nine months ended September 30, 2021, respectively, compared with $16.18 and $16.10 in the same periods of 2020, respectively.</w:t>
      </w:r>
    </w:p>
    <w:p>
      <w:pPr>
        <w:spacing w:after="0" w:line="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 xml:space="preserve">Exploration Expenses: </w:t>
      </w:r>
      <w:r>
        <w:rPr>
          <w:rFonts w:ascii="Arial" w:cs="Arial" w:eastAsia="Arial" w:hAnsi="Arial"/>
          <w:sz w:val="18"/>
          <w:szCs w:val="18"/>
          <w:color w:val="auto"/>
        </w:rPr>
        <w:t>Exploration expenses were as follows:</w:t>
      </w:r>
    </w:p>
    <w:p>
      <w:pPr>
        <w:spacing w:after="0" w:line="119"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120" w:type="dxa"/>
            <w:vAlign w:val="bottom"/>
          </w:tcPr>
          <w:p>
            <w:pPr>
              <w:spacing w:after="0"/>
              <w:rPr>
                <w:sz w:val="14"/>
                <w:szCs w:val="14"/>
                <w:color w:val="auto"/>
              </w:rPr>
            </w:pPr>
          </w:p>
        </w:tc>
        <w:tc>
          <w:tcPr>
            <w:tcW w:w="2100" w:type="dxa"/>
            <w:vAlign w:val="bottom"/>
            <w:gridSpan w:val="4"/>
          </w:tcPr>
          <w:p>
            <w:pPr>
              <w:jc w:val="right"/>
              <w:ind w:right="122"/>
              <w:spacing w:after="0"/>
              <w:rPr>
                <w:sz w:val="20"/>
                <w:szCs w:val="20"/>
                <w:color w:val="auto"/>
              </w:rPr>
            </w:pPr>
            <w:r>
              <w:rPr>
                <w:rFonts w:ascii="Arial" w:cs="Arial" w:eastAsia="Arial" w:hAnsi="Arial"/>
                <w:sz w:val="14"/>
                <w:szCs w:val="14"/>
                <w:b w:val="1"/>
                <w:bCs w:val="1"/>
                <w:color w:val="auto"/>
              </w:rPr>
              <w:t>Three Months Ended</w:t>
            </w:r>
          </w:p>
        </w:tc>
        <w:tc>
          <w:tcPr>
            <w:tcW w:w="3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00" w:type="dxa"/>
            <w:vAlign w:val="bottom"/>
            <w:gridSpan w:val="4"/>
          </w:tcPr>
          <w:p>
            <w:pPr>
              <w:jc w:val="right"/>
              <w:ind w:right="162"/>
              <w:spacing w:after="0"/>
              <w:rPr>
                <w:sz w:val="20"/>
                <w:szCs w:val="20"/>
                <w:color w:val="auto"/>
              </w:rPr>
            </w:pPr>
            <w:r>
              <w:rPr>
                <w:rFonts w:ascii="Arial" w:cs="Arial" w:eastAsia="Arial" w:hAnsi="Arial"/>
                <w:sz w:val="14"/>
                <w:szCs w:val="14"/>
                <w:b w:val="1"/>
                <w:bCs w:val="1"/>
                <w:color w:val="auto"/>
              </w:rPr>
              <w:t>Nine Months Ended</w:t>
            </w:r>
          </w:p>
        </w:tc>
        <w:tc>
          <w:tcPr>
            <w:tcW w:w="380" w:type="dxa"/>
            <w:vAlign w:val="bottom"/>
          </w:tcPr>
          <w:p>
            <w:pPr>
              <w:spacing w:after="0"/>
              <w:rPr>
                <w:sz w:val="14"/>
                <w:szCs w:val="14"/>
                <w:color w:val="auto"/>
              </w:rPr>
            </w:pPr>
          </w:p>
        </w:tc>
      </w:tr>
      <w:tr>
        <w:trPr>
          <w:trHeight w:val="188"/>
        </w:trPr>
        <w:tc>
          <w:tcPr>
            <w:tcW w:w="612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right"/>
              <w:ind w:right="342"/>
              <w:spacing w:after="0"/>
              <w:rPr>
                <w:sz w:val="20"/>
                <w:szCs w:val="20"/>
                <w:color w:val="auto"/>
              </w:rPr>
            </w:pPr>
            <w:r>
              <w:rPr>
                <w:rFonts w:ascii="Arial" w:cs="Arial" w:eastAsia="Arial" w:hAnsi="Arial"/>
                <w:sz w:val="14"/>
                <w:szCs w:val="14"/>
                <w:b w:val="1"/>
                <w:bCs w:val="1"/>
                <w:color w:val="auto"/>
                <w:w w:val="93"/>
              </w:rPr>
              <w:t>September 30,</w:t>
            </w:r>
          </w:p>
        </w:tc>
        <w:tc>
          <w:tcPr>
            <w:tcW w:w="380" w:type="dxa"/>
            <w:vAlign w:val="bottom"/>
            <w:tcBorders>
              <w:bottom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right"/>
              <w:ind w:right="342"/>
              <w:spacing w:after="0"/>
              <w:rPr>
                <w:sz w:val="20"/>
                <w:szCs w:val="20"/>
                <w:color w:val="auto"/>
              </w:rPr>
            </w:pPr>
            <w:r>
              <w:rPr>
                <w:rFonts w:ascii="Arial" w:cs="Arial" w:eastAsia="Arial" w:hAnsi="Arial"/>
                <w:sz w:val="14"/>
                <w:szCs w:val="14"/>
                <w:b w:val="1"/>
                <w:bCs w:val="1"/>
                <w:color w:val="auto"/>
                <w:w w:val="93"/>
              </w:rPr>
              <w:t>September 30,</w:t>
            </w:r>
          </w:p>
        </w:tc>
        <w:tc>
          <w:tcPr>
            <w:tcW w:w="380" w:type="dxa"/>
            <w:vAlign w:val="bottom"/>
            <w:tcBorders>
              <w:bottom w:val="single" w:sz="8" w:color="auto"/>
            </w:tcBorders>
          </w:tcPr>
          <w:p>
            <w:pPr>
              <w:spacing w:after="0"/>
              <w:rPr>
                <w:sz w:val="16"/>
                <w:szCs w:val="16"/>
                <w:color w:val="auto"/>
              </w:rPr>
            </w:pPr>
          </w:p>
        </w:tc>
      </w:tr>
      <w:tr>
        <w:trPr>
          <w:trHeight w:val="218"/>
        </w:trPr>
        <w:tc>
          <w:tcPr>
            <w:tcW w:w="6120" w:type="dxa"/>
            <w:vAlign w:val="bottom"/>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38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Borders>
              <w:bottom w:val="single" w:sz="8" w:color="auto"/>
            </w:tcBorders>
          </w:tcPr>
          <w:p>
            <w:pPr>
              <w:jc w:val="right"/>
              <w:ind w:right="2"/>
              <w:spacing w:after="0"/>
              <w:rPr>
                <w:sz w:val="20"/>
                <w:szCs w:val="20"/>
                <w:color w:val="auto"/>
              </w:rPr>
            </w:pPr>
            <w:r>
              <w:rPr>
                <w:rFonts w:ascii="Arial" w:cs="Arial" w:eastAsia="Arial" w:hAnsi="Arial"/>
                <w:sz w:val="14"/>
                <w:szCs w:val="14"/>
                <w:b w:val="1"/>
                <w:bCs w:val="1"/>
                <w:color w:val="auto"/>
              </w:rPr>
              <w:t>2020</w:t>
            </w:r>
          </w:p>
        </w:tc>
        <w:tc>
          <w:tcPr>
            <w:tcW w:w="380" w:type="dxa"/>
            <w:vAlign w:val="bottom"/>
            <w:tcBorders>
              <w:bottom w:val="single" w:sz="8" w:color="auto"/>
            </w:tcBorders>
          </w:tcPr>
          <w:p>
            <w:pPr>
              <w:spacing w:after="0"/>
              <w:rPr>
                <w:sz w:val="18"/>
                <w:szCs w:val="18"/>
                <w:color w:val="auto"/>
              </w:rPr>
            </w:pPr>
          </w:p>
        </w:tc>
      </w:tr>
      <w:tr>
        <w:trPr>
          <w:trHeight w:val="271"/>
        </w:trPr>
        <w:tc>
          <w:tcPr>
            <w:tcW w:w="612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280" w:type="dxa"/>
            <w:vAlign w:val="bottom"/>
            <w:gridSpan w:val="3"/>
          </w:tcPr>
          <w:p>
            <w:pPr>
              <w:jc w:val="right"/>
              <w:ind w:right="384"/>
              <w:spacing w:after="0"/>
              <w:rPr>
                <w:sz w:val="20"/>
                <w:szCs w:val="20"/>
                <w:color w:val="auto"/>
              </w:rPr>
            </w:pPr>
            <w:r>
              <w:rPr>
                <w:rFonts w:ascii="Arial" w:cs="Arial" w:eastAsia="Arial" w:hAnsi="Arial"/>
                <w:sz w:val="14"/>
                <w:szCs w:val="14"/>
                <w:b w:val="1"/>
                <w:bCs w:val="1"/>
                <w:color w:val="auto"/>
              </w:rPr>
              <w:t>(In millions)</w:t>
            </w:r>
          </w:p>
        </w:tc>
        <w:tc>
          <w:tcPr>
            <w:tcW w:w="4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380" w:type="dxa"/>
            <w:vAlign w:val="bottom"/>
          </w:tcPr>
          <w:p>
            <w:pPr>
              <w:spacing w:after="0"/>
              <w:rPr>
                <w:sz w:val="23"/>
                <w:szCs w:val="23"/>
                <w:color w:val="auto"/>
              </w:rPr>
            </w:pPr>
          </w:p>
        </w:tc>
      </w:tr>
      <w:tr>
        <w:trPr>
          <w:trHeight w:val="222"/>
        </w:trPr>
        <w:tc>
          <w:tcPr>
            <w:tcW w:w="6120" w:type="dxa"/>
            <w:vAlign w:val="bottom"/>
          </w:tcPr>
          <w:p>
            <w:pPr>
              <w:spacing w:after="0"/>
              <w:rPr>
                <w:sz w:val="20"/>
                <w:szCs w:val="20"/>
                <w:color w:val="auto"/>
              </w:rPr>
            </w:pPr>
            <w:r>
              <w:rPr>
                <w:rFonts w:ascii="Arial" w:cs="Arial" w:eastAsia="Arial" w:hAnsi="Arial"/>
                <w:sz w:val="16"/>
                <w:szCs w:val="16"/>
                <w:color w:val="auto"/>
              </w:rPr>
              <w:t>Exploratory dry hole costs (a)</w:t>
            </w:r>
          </w:p>
        </w:tc>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2</w:t>
            </w:r>
          </w:p>
        </w:tc>
        <w:tc>
          <w:tcPr>
            <w:tcW w:w="120" w:type="dxa"/>
            <w:vAlign w:val="bottom"/>
          </w:tcPr>
          <w:p>
            <w:pPr>
              <w:spacing w:after="0"/>
              <w:rPr>
                <w:sz w:val="19"/>
                <w:szCs w:val="19"/>
                <w:color w:val="auto"/>
              </w:rPr>
            </w:pPr>
          </w:p>
        </w:tc>
        <w:tc>
          <w:tcPr>
            <w:tcW w:w="800" w:type="dxa"/>
            <w:vAlign w:val="bottom"/>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Pr>
          <w:p>
            <w:pPr>
              <w:jc w:val="right"/>
              <w:spacing w:after="0"/>
              <w:rPr>
                <w:sz w:val="20"/>
                <w:szCs w:val="20"/>
                <w:color w:val="auto"/>
              </w:rPr>
            </w:pPr>
            <w:r>
              <w:rPr>
                <w:rFonts w:ascii="Arial" w:cs="Arial" w:eastAsia="Arial" w:hAnsi="Arial"/>
                <w:sz w:val="16"/>
                <w:szCs w:val="16"/>
                <w:color w:val="auto"/>
              </w:rPr>
              <w:t>31</w:t>
            </w:r>
          </w:p>
        </w:tc>
        <w:tc>
          <w:tcPr>
            <w:tcW w:w="140" w:type="dxa"/>
            <w:vAlign w:val="bottom"/>
          </w:tcPr>
          <w:p>
            <w:pPr>
              <w:spacing w:after="0"/>
              <w:rPr>
                <w:sz w:val="19"/>
                <w:szCs w:val="19"/>
                <w:color w:val="auto"/>
              </w:rPr>
            </w:pPr>
          </w:p>
        </w:tc>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11</w:t>
            </w:r>
          </w:p>
        </w:tc>
        <w:tc>
          <w:tcPr>
            <w:tcW w:w="120" w:type="dxa"/>
            <w:vAlign w:val="bottom"/>
          </w:tcPr>
          <w:p>
            <w:pPr>
              <w:spacing w:after="0"/>
              <w:rPr>
                <w:sz w:val="19"/>
                <w:szCs w:val="19"/>
                <w:color w:val="auto"/>
              </w:rPr>
            </w:pPr>
          </w:p>
        </w:tc>
        <w:tc>
          <w:tcPr>
            <w:tcW w:w="800" w:type="dxa"/>
            <w:vAlign w:val="bottom"/>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Pr>
          <w:p>
            <w:pPr>
              <w:jc w:val="right"/>
              <w:spacing w:after="0"/>
              <w:rPr>
                <w:sz w:val="20"/>
                <w:szCs w:val="20"/>
                <w:color w:val="auto"/>
              </w:rPr>
            </w:pPr>
            <w:r>
              <w:rPr>
                <w:rFonts w:ascii="Arial" w:cs="Arial" w:eastAsia="Arial" w:hAnsi="Arial"/>
                <w:sz w:val="16"/>
                <w:szCs w:val="16"/>
                <w:color w:val="auto"/>
              </w:rPr>
              <w:t>166</w:t>
            </w:r>
          </w:p>
        </w:tc>
      </w:tr>
      <w:tr>
        <w:trPr>
          <w:trHeight w:val="216"/>
        </w:trPr>
        <w:tc>
          <w:tcPr>
            <w:tcW w:w="6120" w:type="dxa"/>
            <w:vAlign w:val="bottom"/>
          </w:tcPr>
          <w:p>
            <w:pPr>
              <w:spacing w:after="0"/>
              <w:rPr>
                <w:sz w:val="20"/>
                <w:szCs w:val="20"/>
                <w:color w:val="auto"/>
              </w:rPr>
            </w:pPr>
            <w:r>
              <w:rPr>
                <w:rFonts w:ascii="Arial" w:cs="Arial" w:eastAsia="Arial" w:hAnsi="Arial"/>
                <w:sz w:val="16"/>
                <w:szCs w:val="16"/>
                <w:color w:val="auto"/>
              </w:rPr>
              <w:t>Exploration lease and other impairment (b)</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5</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10</w:t>
            </w: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15</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48</w:t>
            </w:r>
          </w:p>
        </w:tc>
      </w:tr>
      <w:tr>
        <w:trPr>
          <w:trHeight w:val="219"/>
        </w:trPr>
        <w:tc>
          <w:tcPr>
            <w:tcW w:w="6120" w:type="dxa"/>
            <w:vAlign w:val="bottom"/>
          </w:tcPr>
          <w:p>
            <w:pPr>
              <w:spacing w:after="0"/>
              <w:rPr>
                <w:sz w:val="20"/>
                <w:szCs w:val="20"/>
                <w:color w:val="auto"/>
              </w:rPr>
            </w:pPr>
            <w:r>
              <w:rPr>
                <w:rFonts w:ascii="Arial" w:cs="Arial" w:eastAsia="Arial" w:hAnsi="Arial"/>
                <w:sz w:val="16"/>
                <w:szCs w:val="16"/>
                <w:color w:val="auto"/>
              </w:rPr>
              <w:t>Geological and geophysical expense and exploration overhead</w:t>
            </w:r>
          </w:p>
        </w:tc>
        <w:tc>
          <w:tcPr>
            <w:tcW w:w="76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w:t>
            </w:r>
          </w:p>
        </w:tc>
        <w:tc>
          <w:tcPr>
            <w:tcW w:w="120" w:type="dxa"/>
            <w:vAlign w:val="bottom"/>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w:t>
            </w:r>
          </w:p>
        </w:tc>
        <w:tc>
          <w:tcPr>
            <w:tcW w:w="140" w:type="dxa"/>
            <w:vAlign w:val="bottom"/>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91</w:t>
            </w:r>
          </w:p>
        </w:tc>
        <w:tc>
          <w:tcPr>
            <w:tcW w:w="120" w:type="dxa"/>
            <w:vAlign w:val="bottom"/>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77</w:t>
            </w:r>
          </w:p>
        </w:tc>
      </w:tr>
      <w:tr>
        <w:trPr>
          <w:trHeight w:val="213"/>
        </w:trPr>
        <w:tc>
          <w:tcPr>
            <w:tcW w:w="6120" w:type="dxa"/>
            <w:vAlign w:val="bottom"/>
          </w:tcPr>
          <w:p>
            <w:pPr>
              <w:ind w:left="200"/>
              <w:spacing w:after="0"/>
              <w:rPr>
                <w:sz w:val="20"/>
                <w:szCs w:val="20"/>
                <w:color w:val="auto"/>
              </w:rPr>
            </w:pPr>
            <w:r>
              <w:rPr>
                <w:rFonts w:ascii="Arial" w:cs="Arial" w:eastAsia="Arial" w:hAnsi="Arial"/>
                <w:sz w:val="16"/>
                <w:szCs w:val="16"/>
                <w:b w:val="1"/>
                <w:bCs w:val="1"/>
                <w:color w:val="auto"/>
              </w:rPr>
              <w:t>Total Exploration Expense</w:t>
            </w:r>
          </w:p>
        </w:tc>
        <w:tc>
          <w:tcPr>
            <w:tcW w:w="760" w:type="dxa"/>
            <w:vAlign w:val="bottom"/>
            <w:tcBorders>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w:t>
            </w:r>
          </w:p>
        </w:tc>
        <w:tc>
          <w:tcPr>
            <w:tcW w:w="120" w:type="dxa"/>
            <w:vAlign w:val="bottom"/>
          </w:tcPr>
          <w:p>
            <w:pPr>
              <w:spacing w:after="0"/>
              <w:rPr>
                <w:sz w:val="18"/>
                <w:szCs w:val="18"/>
                <w:color w:val="auto"/>
              </w:rPr>
            </w:pPr>
          </w:p>
        </w:tc>
        <w:tc>
          <w:tcPr>
            <w:tcW w:w="800" w:type="dxa"/>
            <w:vAlign w:val="bottom"/>
            <w:tcBorders>
              <w:bottom w:val="single" w:sz="8" w:color="auto"/>
            </w:tcBorders>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71</w:t>
            </w:r>
          </w:p>
        </w:tc>
        <w:tc>
          <w:tcPr>
            <w:tcW w:w="140" w:type="dxa"/>
            <w:vAlign w:val="bottom"/>
          </w:tcPr>
          <w:p>
            <w:pPr>
              <w:spacing w:after="0"/>
              <w:rPr>
                <w:sz w:val="18"/>
                <w:szCs w:val="18"/>
                <w:color w:val="auto"/>
              </w:rPr>
            </w:pPr>
          </w:p>
        </w:tc>
        <w:tc>
          <w:tcPr>
            <w:tcW w:w="760" w:type="dxa"/>
            <w:vAlign w:val="bottom"/>
            <w:tcBorders>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117</w:t>
            </w:r>
          </w:p>
        </w:tc>
        <w:tc>
          <w:tcPr>
            <w:tcW w:w="120" w:type="dxa"/>
            <w:vAlign w:val="bottom"/>
          </w:tcPr>
          <w:p>
            <w:pPr>
              <w:spacing w:after="0"/>
              <w:rPr>
                <w:sz w:val="18"/>
                <w:szCs w:val="18"/>
                <w:color w:val="auto"/>
              </w:rPr>
            </w:pPr>
          </w:p>
        </w:tc>
        <w:tc>
          <w:tcPr>
            <w:tcW w:w="800" w:type="dxa"/>
            <w:vAlign w:val="bottom"/>
            <w:tcBorders>
              <w:bottom w:val="single" w:sz="8" w:color="auto"/>
            </w:tcBorders>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291</w:t>
            </w:r>
          </w:p>
        </w:tc>
      </w:tr>
      <w:tr>
        <w:trPr>
          <w:trHeight w:val="20"/>
        </w:trPr>
        <w:tc>
          <w:tcPr>
            <w:tcW w:w="61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r>
    </w:tbl>
    <w:p>
      <w:pPr>
        <w:spacing w:after="0" w:line="184" w:lineRule="exact"/>
        <w:rPr>
          <w:sz w:val="20"/>
          <w:szCs w:val="20"/>
          <w:color w:val="auto"/>
        </w:rPr>
      </w:pPr>
    </w:p>
    <w:p>
      <w:pPr>
        <w:jc w:val="both"/>
        <w:ind w:left="340" w:right="20" w:hanging="251"/>
        <w:spacing w:after="0" w:line="247" w:lineRule="auto"/>
        <w:tabs>
          <w:tab w:leader="none" w:pos="332" w:val="left"/>
        </w:tabs>
        <w:numPr>
          <w:ilvl w:val="0"/>
          <w:numId w:val="11"/>
        </w:numPr>
        <w:rPr>
          <w:rFonts w:ascii="Arial" w:cs="Arial" w:eastAsia="Arial" w:hAnsi="Arial"/>
          <w:sz w:val="14"/>
          <w:szCs w:val="14"/>
          <w:i w:val="1"/>
          <w:iCs w:val="1"/>
          <w:color w:val="auto"/>
        </w:rPr>
      </w:pPr>
      <w:r>
        <w:rPr>
          <w:rFonts w:ascii="Arial" w:cs="Arial" w:eastAsia="Arial" w:hAnsi="Arial"/>
          <w:sz w:val="14"/>
          <w:szCs w:val="14"/>
          <w:i w:val="1"/>
          <w:iCs w:val="1"/>
          <w:color w:val="auto"/>
        </w:rPr>
        <w:t>The first nine months of 2021 primarily relates to the Koebi-1 exploration well, offshore Guyana. Exploratory dry hole costs in the third quarter of 2020 relate to the Galapagos Deep exploration well in the Gulf of Mexico, while the first nine months of 2020 also includes the write-off of previously capitalized exploratory wells (see Items Affecting Comparability of Earnings Between Periods below).</w:t>
      </w:r>
    </w:p>
    <w:p>
      <w:pPr>
        <w:ind w:left="340" w:hanging="251"/>
        <w:spacing w:after="0" w:line="255" w:lineRule="auto"/>
        <w:tabs>
          <w:tab w:leader="none" w:pos="332" w:val="left"/>
        </w:tabs>
        <w:numPr>
          <w:ilvl w:val="0"/>
          <w:numId w:val="11"/>
        </w:numPr>
        <w:rPr>
          <w:rFonts w:ascii="Arial" w:cs="Arial" w:eastAsia="Arial" w:hAnsi="Arial"/>
          <w:sz w:val="14"/>
          <w:szCs w:val="14"/>
          <w:i w:val="1"/>
          <w:iCs w:val="1"/>
          <w:color w:val="auto"/>
        </w:rPr>
      </w:pPr>
      <w:r>
        <w:rPr>
          <w:rFonts w:ascii="Arial" w:cs="Arial" w:eastAsia="Arial" w:hAnsi="Arial"/>
          <w:sz w:val="14"/>
          <w:szCs w:val="14"/>
          <w:i w:val="1"/>
          <w:iCs w:val="1"/>
          <w:color w:val="auto"/>
        </w:rPr>
        <w:t>The first nine months of 2020 includes impaired leasehold costs due to a reprioritization of the Corporation’s forward capital program (See Items Affecting Comparability of Earnings Between Periods below).</w:t>
      </w:r>
    </w:p>
    <w:p>
      <w:pPr>
        <w:spacing w:after="0" w:line="82" w:lineRule="exact"/>
        <w:rPr>
          <w:sz w:val="20"/>
          <w:szCs w:val="20"/>
          <w:color w:val="auto"/>
        </w:rPr>
      </w:pPr>
    </w:p>
    <w:p>
      <w:pPr>
        <w:spacing w:after="0"/>
        <w:rPr>
          <w:sz w:val="20"/>
          <w:szCs w:val="20"/>
          <w:color w:val="auto"/>
        </w:rPr>
      </w:pPr>
      <w:r>
        <w:rPr>
          <w:rFonts w:ascii="Arial" w:cs="Arial" w:eastAsia="Arial" w:hAnsi="Arial"/>
          <w:sz w:val="18"/>
          <w:szCs w:val="18"/>
          <w:color w:val="auto"/>
        </w:rPr>
        <w:t>Exploration expenses, excluding dry hole expense, are estimated to be in the range of $50 million to $55 million in the fourth quarter of 2021.</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 xml:space="preserve">Income Taxes: </w:t>
      </w:r>
      <w:r>
        <w:rPr>
          <w:rFonts w:ascii="Arial" w:cs="Arial" w:eastAsia="Arial" w:hAnsi="Arial"/>
          <w:sz w:val="16"/>
          <w:szCs w:val="16"/>
          <w:color w:val="auto"/>
        </w:rPr>
        <w:t>The increase in income tax expense in the third quarter and first nine months of 2021, compared to the corresponding periods in 2020, is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primarily due to higher pre-tax income in Libya and Guyana. E&amp;P income tax expense in the third quarter of 2021 was $140 million (Q3 2020: $6 million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income tax expense) and includes $103 million of income tax expense (Q3 2020: $5 million income tax benefit) from Libyan operations. For the first nine</w:t>
      </w:r>
    </w:p>
    <w:p>
      <w:pPr>
        <w:spacing w:after="0" w:line="32"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months of 2021, E&amp;P income tax expense was $379 million (2020: $82 million income tax benefit) and includes $279 million of income tax expense (2020: $19 million income tax benefit) from Libyan operations. An income tax benefit of $80 million was recognized in the first quarter of 2020 attributable to items affecting comparability of earnings between periods. Excluding items affecting comparability of earnings between periods and Libyan operations, E&amp;P income tax expense is expected to be in the range of $35 million to $40 million for the fourth quarter of 2021.</w:t>
      </w:r>
    </w:p>
    <w:p>
      <w:pPr>
        <w:spacing w:after="0" w:line="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Items Affecting Comparability of Earnings Between Periods: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on an after-tax basis, income (expense) items affecting comparability of E&amp;P earnings between periods:</w:t>
      </w:r>
    </w:p>
    <w:p>
      <w:pPr>
        <w:sectPr>
          <w:pgSz w:w="11900" w:h="16838" w:orient="portrait"/>
          <w:cols w:equalWidth="0" w:num="1">
            <w:col w:w="11240"/>
          </w:cols>
          <w:pgMar w:left="320" w:top="58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Gain on asset sale, net</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Impairment and other</w:t>
      </w:r>
    </w:p>
    <w:p>
      <w:pPr>
        <w:spacing w:after="0" w:line="32" w:lineRule="exact"/>
        <w:rPr>
          <w:sz w:val="20"/>
          <w:szCs w:val="20"/>
          <w:color w:val="auto"/>
        </w:rPr>
      </w:pPr>
    </w:p>
    <w:p>
      <w:pPr>
        <w:ind w:left="20" w:right="1620"/>
        <w:spacing w:after="0" w:line="315" w:lineRule="auto"/>
        <w:rPr>
          <w:sz w:val="20"/>
          <w:szCs w:val="20"/>
          <w:color w:val="auto"/>
        </w:rPr>
      </w:pPr>
      <w:r>
        <w:rPr>
          <w:rFonts w:ascii="Arial" w:cs="Arial" w:eastAsia="Arial" w:hAnsi="Arial"/>
          <w:sz w:val="16"/>
          <w:szCs w:val="16"/>
          <w:color w:val="auto"/>
        </w:rPr>
        <w:t>Dry hole, lease impairment and other exploration expenses Crude oil inventories write-down Severance</w:t>
      </w:r>
    </w:p>
    <w:p>
      <w:pPr>
        <w:spacing w:after="0" w:line="20" w:lineRule="exact"/>
        <w:rPr>
          <w:sz w:val="20"/>
          <w:szCs w:val="20"/>
          <w:color w:val="auto"/>
        </w:rPr>
      </w:pPr>
      <w:r>
        <w:rPr>
          <w:sz w:val="20"/>
          <w:szCs w:val="20"/>
          <w:color w:val="auto"/>
        </w:rPr>
        <w:br w:type="column"/>
      </w:r>
    </w:p>
    <w:p>
      <w:pPr>
        <w:spacing w:after="0" w:line="11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80" w:type="dxa"/>
            <w:vAlign w:val="bottom"/>
            <w:gridSpan w:val="4"/>
          </w:tcPr>
          <w:p>
            <w:pPr>
              <w:jc w:val="right"/>
              <w:ind w:right="122"/>
              <w:spacing w:after="0"/>
              <w:rPr>
                <w:sz w:val="20"/>
                <w:szCs w:val="20"/>
                <w:color w:val="auto"/>
              </w:rPr>
            </w:pPr>
            <w:r>
              <w:rPr>
                <w:rFonts w:ascii="Arial" w:cs="Arial" w:eastAsia="Arial" w:hAnsi="Arial"/>
                <w:sz w:val="14"/>
                <w:szCs w:val="14"/>
                <w:b w:val="1"/>
                <w:bCs w:val="1"/>
                <w:color w:val="auto"/>
              </w:rPr>
              <w:t>Three Months Ended</w:t>
            </w: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80" w:type="dxa"/>
            <w:vAlign w:val="bottom"/>
            <w:gridSpan w:val="5"/>
          </w:tcPr>
          <w:p>
            <w:pPr>
              <w:jc w:val="right"/>
              <w:ind w:right="540"/>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7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3"/>
          </w:tcPr>
          <w:p>
            <w:pPr>
              <w:jc w:val="right"/>
              <w:ind w:right="322"/>
              <w:spacing w:after="0"/>
              <w:rPr>
                <w:sz w:val="20"/>
                <w:szCs w:val="20"/>
                <w:color w:val="auto"/>
              </w:rPr>
            </w:pPr>
            <w:r>
              <w:rPr>
                <w:rFonts w:ascii="Arial" w:cs="Arial" w:eastAsia="Arial" w:hAnsi="Arial"/>
                <w:sz w:val="14"/>
                <w:szCs w:val="14"/>
                <w:b w:val="1"/>
                <w:bCs w:val="1"/>
                <w:color w:val="auto"/>
                <w:w w:val="93"/>
              </w:rPr>
              <w:t>September 30,</w:t>
            </w:r>
          </w:p>
        </w:tc>
        <w:tc>
          <w:tcPr>
            <w:tcW w:w="3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3"/>
              </w:rPr>
              <w:t>September 30,</w:t>
            </w:r>
          </w:p>
        </w:tc>
        <w:tc>
          <w:tcPr>
            <w:tcW w:w="780" w:type="dxa"/>
            <w:vAlign w:val="bottom"/>
            <w:tcBorders>
              <w:bottom w:val="single" w:sz="8" w:color="auto"/>
            </w:tcBorders>
          </w:tcPr>
          <w:p>
            <w:pPr>
              <w:spacing w:after="0"/>
              <w:rPr>
                <w:sz w:val="16"/>
                <w:szCs w:val="16"/>
                <w:color w:val="auto"/>
              </w:rPr>
            </w:pPr>
          </w:p>
        </w:tc>
      </w:tr>
      <w:tr>
        <w:trPr>
          <w:trHeight w:val="183"/>
        </w:trPr>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38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w w:val="96"/>
              </w:rPr>
              <w:t>2020</w:t>
            </w:r>
          </w:p>
        </w:tc>
      </w:tr>
      <w:tr>
        <w:trPr>
          <w:trHeight w:val="212"/>
        </w:trPr>
        <w:tc>
          <w:tcPr>
            <w:tcW w:w="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60" w:type="dxa"/>
            <w:vAlign w:val="bottom"/>
            <w:gridSpan w:val="3"/>
          </w:tcPr>
          <w:p>
            <w:pPr>
              <w:jc w:val="right"/>
              <w:ind w:right="364"/>
              <w:spacing w:after="0"/>
              <w:rPr>
                <w:sz w:val="20"/>
                <w:szCs w:val="20"/>
                <w:color w:val="auto"/>
              </w:rPr>
            </w:pPr>
            <w:r>
              <w:rPr>
                <w:rFonts w:ascii="Arial" w:cs="Arial" w:eastAsia="Arial" w:hAnsi="Arial"/>
                <w:sz w:val="14"/>
                <w:szCs w:val="14"/>
                <w:b w:val="1"/>
                <w:bCs w:val="1"/>
                <w:color w:val="auto"/>
              </w:rPr>
              <w:t>(In millions)</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22"/>
        </w:trPr>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9"/>
                <w:szCs w:val="19"/>
                <w:color w:val="auto"/>
              </w:rPr>
            </w:pPr>
          </w:p>
        </w:tc>
        <w:tc>
          <w:tcPr>
            <w:tcW w:w="800" w:type="dxa"/>
            <w:vAlign w:val="bottom"/>
          </w:tcPr>
          <w:p>
            <w:pPr>
              <w:jc w:val="right"/>
              <w:ind w:right="622"/>
              <w:spacing w:after="0"/>
              <w:rPr>
                <w:sz w:val="20"/>
                <w:szCs w:val="20"/>
                <w:color w:val="auto"/>
              </w:rPr>
            </w:pPr>
            <w:r>
              <w:rPr>
                <w:rFonts w:ascii="Arial" w:cs="Arial" w:eastAsia="Arial" w:hAnsi="Arial"/>
                <w:sz w:val="16"/>
                <w:szCs w:val="16"/>
                <w:color w:val="auto"/>
                <w:w w:val="89"/>
              </w:rPr>
              <w:t>$</w:t>
            </w:r>
          </w:p>
        </w:tc>
        <w:tc>
          <w:tcPr>
            <w:tcW w:w="500" w:type="dxa"/>
            <w:vAlign w:val="bottom"/>
            <w:gridSpan w:val="2"/>
          </w:tcPr>
          <w:p>
            <w:pPr>
              <w:jc w:val="center"/>
              <w:ind w:right="20"/>
              <w:spacing w:after="0"/>
              <w:rPr>
                <w:sz w:val="20"/>
                <w:szCs w:val="20"/>
                <w:color w:val="auto"/>
              </w:rPr>
            </w:pPr>
            <w:r>
              <w:rPr>
                <w:rFonts w:ascii="Arial" w:cs="Arial" w:eastAsia="Arial" w:hAnsi="Arial"/>
                <w:sz w:val="16"/>
                <w:szCs w:val="16"/>
                <w:color w:val="auto"/>
                <w:w w:val="99"/>
              </w:rPr>
              <w:t>—</w:t>
            </w:r>
          </w:p>
        </w:tc>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29</w:t>
            </w:r>
          </w:p>
        </w:tc>
        <w:tc>
          <w:tcPr>
            <w:tcW w:w="120" w:type="dxa"/>
            <w:vAlign w:val="bottom"/>
          </w:tcPr>
          <w:p>
            <w:pPr>
              <w:spacing w:after="0"/>
              <w:rPr>
                <w:sz w:val="19"/>
                <w:szCs w:val="19"/>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7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0" w:type="dxa"/>
            <w:vAlign w:val="bottom"/>
          </w:tcPr>
          <w:p>
            <w:pPr>
              <w:spacing w:after="0"/>
              <w:rPr>
                <w:sz w:val="18"/>
                <w:szCs w:val="18"/>
                <w:color w:val="auto"/>
              </w:rPr>
            </w:pPr>
          </w:p>
        </w:tc>
        <w:tc>
          <w:tcPr>
            <w:tcW w:w="500" w:type="dxa"/>
            <w:vAlign w:val="bottom"/>
            <w:gridSpan w:val="2"/>
          </w:tcPr>
          <w:p>
            <w:pPr>
              <w:jc w:val="center"/>
              <w:ind w:right="20"/>
              <w:spacing w:after="0"/>
              <w:rPr>
                <w:sz w:val="20"/>
                <w:szCs w:val="20"/>
                <w:color w:val="auto"/>
              </w:rPr>
            </w:pPr>
            <w:r>
              <w:rPr>
                <w:rFonts w:ascii="Arial" w:cs="Arial" w:eastAsia="Arial" w:hAnsi="Arial"/>
                <w:sz w:val="16"/>
                <w:szCs w:val="16"/>
                <w:color w:val="auto"/>
                <w:w w:val="99"/>
              </w:rPr>
              <w:t>—</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(147)</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(2,049)</w:t>
            </w:r>
          </w:p>
        </w:tc>
      </w:tr>
      <w:tr>
        <w:trPr>
          <w:trHeight w:val="216"/>
        </w:trPr>
        <w:tc>
          <w:tcPr>
            <w:tcW w:w="7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0" w:type="dxa"/>
            <w:vAlign w:val="bottom"/>
          </w:tcPr>
          <w:p>
            <w:pPr>
              <w:spacing w:after="0"/>
              <w:rPr>
                <w:sz w:val="18"/>
                <w:szCs w:val="18"/>
                <w:color w:val="auto"/>
              </w:rPr>
            </w:pPr>
          </w:p>
        </w:tc>
        <w:tc>
          <w:tcPr>
            <w:tcW w:w="500" w:type="dxa"/>
            <w:vAlign w:val="bottom"/>
            <w:gridSpan w:val="2"/>
          </w:tcPr>
          <w:p>
            <w:pPr>
              <w:jc w:val="center"/>
              <w:ind w:right="20"/>
              <w:spacing w:after="0"/>
              <w:rPr>
                <w:sz w:val="20"/>
                <w:szCs w:val="20"/>
                <w:color w:val="auto"/>
              </w:rPr>
            </w:pPr>
            <w:r>
              <w:rPr>
                <w:rFonts w:ascii="Arial" w:cs="Arial" w:eastAsia="Arial" w:hAnsi="Arial"/>
                <w:sz w:val="16"/>
                <w:szCs w:val="16"/>
                <w:color w:val="auto"/>
                <w:w w:val="99"/>
              </w:rPr>
              <w:t>—</w:t>
            </w:r>
          </w:p>
        </w:tc>
        <w:tc>
          <w:tcPr>
            <w:tcW w:w="760" w:type="dxa"/>
            <w:vAlign w:val="bottom"/>
          </w:tcPr>
          <w:p>
            <w:pPr>
              <w:spacing w:after="0"/>
              <w:rPr>
                <w:sz w:val="18"/>
                <w:szCs w:val="18"/>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(150)</w:t>
            </w:r>
          </w:p>
        </w:tc>
      </w:tr>
      <w:tr>
        <w:trPr>
          <w:trHeight w:val="216"/>
        </w:trPr>
        <w:tc>
          <w:tcPr>
            <w:tcW w:w="7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0" w:type="dxa"/>
            <w:vAlign w:val="bottom"/>
          </w:tcPr>
          <w:p>
            <w:pPr>
              <w:spacing w:after="0"/>
              <w:rPr>
                <w:sz w:val="18"/>
                <w:szCs w:val="18"/>
                <w:color w:val="auto"/>
              </w:rPr>
            </w:pPr>
          </w:p>
        </w:tc>
        <w:tc>
          <w:tcPr>
            <w:tcW w:w="500" w:type="dxa"/>
            <w:vAlign w:val="bottom"/>
            <w:gridSpan w:val="2"/>
          </w:tcPr>
          <w:p>
            <w:pPr>
              <w:jc w:val="center"/>
              <w:ind w:right="20"/>
              <w:spacing w:after="0"/>
              <w:rPr>
                <w:sz w:val="20"/>
                <w:szCs w:val="20"/>
                <w:color w:val="auto"/>
              </w:rPr>
            </w:pPr>
            <w:r>
              <w:rPr>
                <w:rFonts w:ascii="Arial" w:cs="Arial" w:eastAsia="Arial" w:hAnsi="Arial"/>
                <w:sz w:val="16"/>
                <w:szCs w:val="16"/>
                <w:color w:val="auto"/>
                <w:w w:val="99"/>
              </w:rPr>
              <w:t>—</w:t>
            </w:r>
          </w:p>
        </w:tc>
        <w:tc>
          <w:tcPr>
            <w:tcW w:w="760" w:type="dxa"/>
            <w:vAlign w:val="bottom"/>
          </w:tcPr>
          <w:p>
            <w:pPr>
              <w:spacing w:after="0"/>
              <w:rPr>
                <w:sz w:val="18"/>
                <w:szCs w:val="18"/>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(52)</w:t>
            </w:r>
          </w:p>
        </w:tc>
      </w:tr>
      <w:tr>
        <w:trPr>
          <w:trHeight w:val="219"/>
        </w:trPr>
        <w:tc>
          <w:tcPr>
            <w:tcW w:w="760" w:type="dxa"/>
            <w:vAlign w:val="bottom"/>
          </w:tcPr>
          <w:p>
            <w:pPr>
              <w:spacing w:after="0"/>
              <w:rPr>
                <w:sz w:val="19"/>
                <w:szCs w:val="19"/>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0" w:type="dxa"/>
            <w:vAlign w:val="bottom"/>
          </w:tcPr>
          <w:p>
            <w:pPr>
              <w:spacing w:after="0"/>
              <w:rPr>
                <w:sz w:val="19"/>
                <w:szCs w:val="19"/>
                <w:color w:val="auto"/>
              </w:rPr>
            </w:pPr>
          </w:p>
        </w:tc>
        <w:tc>
          <w:tcPr>
            <w:tcW w:w="380" w:type="dxa"/>
            <w:vAlign w:val="bottom"/>
          </w:tcPr>
          <w:p>
            <w:pPr>
              <w:jc w:val="center"/>
              <w:spacing w:after="0"/>
              <w:rPr>
                <w:sz w:val="20"/>
                <w:szCs w:val="20"/>
                <w:color w:val="auto"/>
              </w:rPr>
            </w:pPr>
            <w:r>
              <w:rPr>
                <w:rFonts w:ascii="Arial" w:cs="Arial" w:eastAsia="Arial" w:hAnsi="Arial"/>
                <w:sz w:val="16"/>
                <w:szCs w:val="16"/>
                <w:color w:val="auto"/>
                <w:w w:val="91"/>
              </w:rPr>
              <w:t>(26)</w:t>
            </w: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(26)</w:t>
            </w:r>
          </w:p>
        </w:tc>
      </w:tr>
      <w:tr>
        <w:trPr>
          <w:trHeight w:val="209"/>
        </w:trPr>
        <w:tc>
          <w:tcPr>
            <w:tcW w:w="760" w:type="dxa"/>
            <w:vAlign w:val="bottom"/>
            <w:tcBorders>
              <w:top w:val="single" w:sz="8" w:color="auto"/>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8"/>
                <w:szCs w:val="18"/>
                <w:color w:val="auto"/>
              </w:rPr>
            </w:pPr>
          </w:p>
        </w:tc>
        <w:tc>
          <w:tcPr>
            <w:tcW w:w="800" w:type="dxa"/>
            <w:vAlign w:val="bottom"/>
            <w:tcBorders>
              <w:top w:val="single" w:sz="8" w:color="auto"/>
              <w:bottom w:val="single" w:sz="8" w:color="auto"/>
            </w:tcBorders>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1"/>
              </w:rPr>
              <w:t>(26)</w:t>
            </w:r>
          </w:p>
        </w:tc>
        <w:tc>
          <w:tcPr>
            <w:tcW w:w="120" w:type="dxa"/>
            <w:vAlign w:val="bottom"/>
          </w:tcPr>
          <w:p>
            <w:pPr>
              <w:spacing w:after="0"/>
              <w:rPr>
                <w:sz w:val="18"/>
                <w:szCs w:val="18"/>
                <w:color w:val="auto"/>
              </w:rPr>
            </w:pPr>
          </w:p>
        </w:tc>
        <w:tc>
          <w:tcPr>
            <w:tcW w:w="760" w:type="dxa"/>
            <w:vAlign w:val="bottom"/>
            <w:tcBorders>
              <w:top w:val="single" w:sz="8" w:color="auto"/>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(118)</w:t>
            </w:r>
          </w:p>
        </w:tc>
        <w:tc>
          <w:tcPr>
            <w:tcW w:w="120" w:type="dxa"/>
            <w:vAlign w:val="bottom"/>
          </w:tcPr>
          <w:p>
            <w:pPr>
              <w:spacing w:after="0"/>
              <w:rPr>
                <w:sz w:val="18"/>
                <w:szCs w:val="18"/>
                <w:color w:val="auto"/>
              </w:rPr>
            </w:pPr>
          </w:p>
        </w:tc>
        <w:tc>
          <w:tcPr>
            <w:tcW w:w="400" w:type="dxa"/>
            <w:vAlign w:val="bottom"/>
            <w:tcBorders>
              <w:top w:val="single" w:sz="8" w:color="auto"/>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(2,277)</w:t>
            </w:r>
          </w:p>
        </w:tc>
      </w:tr>
      <w:tr>
        <w:trPr>
          <w:trHeight w:val="24"/>
        </w:trPr>
        <w:tc>
          <w:tcPr>
            <w:tcW w:w="7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2">
            <w:col w:w="5460" w:space="720"/>
            <w:col w:w="5060"/>
          </w:cols>
          <w:pgMar w:left="320" w:top="580" w:right="339" w:bottom="1440" w:gutter="0" w:footer="0" w:header="0"/>
          <w:type w:val="continuous"/>
        </w:sectPr>
      </w:pPr>
    </w:p>
    <w:p>
      <w:pPr>
        <w:spacing w:after="0" w:line="31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type w:val="continuous"/>
        </w:sectPr>
      </w:pPr>
    </w:p>
    <w:bookmarkStart w:id="26" w:name="page27"/>
    <w:bookmarkEnd w:id="26"/>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Consolidated Results of Operations (continued)</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summarizes, on a pre-tax basis, income (expense) items affecting comparability of E&amp;P earnings between periods:</w:t>
      </w:r>
    </w:p>
    <w:p>
      <w:pPr>
        <w:sectPr>
          <w:pgSz w:w="11900" w:h="16838" w:orient="portrait"/>
          <w:cols w:equalWidth="0" w:num="1">
            <w:col w:w="11240"/>
          </w:cols>
          <w:pgMar w:left="320" w:top="58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20"/>
        <w:spacing w:after="0"/>
        <w:rPr>
          <w:sz w:val="20"/>
          <w:szCs w:val="20"/>
          <w:color w:val="auto"/>
        </w:rPr>
      </w:pPr>
      <w:r>
        <w:rPr>
          <w:rFonts w:ascii="Arial" w:cs="Arial" w:eastAsia="Arial" w:hAnsi="Arial"/>
          <w:sz w:val="16"/>
          <w:szCs w:val="16"/>
          <w:color w:val="auto"/>
        </w:rPr>
        <w:t>Gain on asset sale, net</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Impairment and other</w:t>
      </w:r>
    </w:p>
    <w:p>
      <w:pPr>
        <w:spacing w:after="0" w:line="32" w:lineRule="exact"/>
        <w:rPr>
          <w:sz w:val="20"/>
          <w:szCs w:val="20"/>
          <w:color w:val="auto"/>
        </w:rPr>
      </w:pPr>
    </w:p>
    <w:p>
      <w:pPr>
        <w:ind w:left="20" w:right="1620"/>
        <w:spacing w:after="0" w:line="315" w:lineRule="auto"/>
        <w:rPr>
          <w:sz w:val="20"/>
          <w:szCs w:val="20"/>
          <w:color w:val="auto"/>
        </w:rPr>
      </w:pPr>
      <w:r>
        <w:rPr>
          <w:rFonts w:ascii="Arial" w:cs="Arial" w:eastAsia="Arial" w:hAnsi="Arial"/>
          <w:sz w:val="16"/>
          <w:szCs w:val="16"/>
          <w:color w:val="auto"/>
        </w:rPr>
        <w:t>Dry hole, lease impairment and other exploration expenses Crude oil inventories write-down Severance</w:t>
      </w:r>
    </w:p>
    <w:p>
      <w:pPr>
        <w:spacing w:after="0" w:line="20" w:lineRule="exact"/>
        <w:rPr>
          <w:sz w:val="20"/>
          <w:szCs w:val="20"/>
          <w:color w:val="auto"/>
        </w:rPr>
      </w:pPr>
      <w:r>
        <w:rPr>
          <w:sz w:val="20"/>
          <w:szCs w:val="20"/>
          <w:color w:val="auto"/>
        </w:rPr>
        <w:br w:type="column"/>
      </w:r>
    </w:p>
    <w:p>
      <w:pPr>
        <w:spacing w:after="0" w:line="13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80" w:type="dxa"/>
            <w:vAlign w:val="bottom"/>
            <w:gridSpan w:val="4"/>
          </w:tcPr>
          <w:p>
            <w:pPr>
              <w:jc w:val="right"/>
              <w:ind w:right="122"/>
              <w:spacing w:after="0"/>
              <w:rPr>
                <w:sz w:val="20"/>
                <w:szCs w:val="20"/>
                <w:color w:val="auto"/>
              </w:rPr>
            </w:pPr>
            <w:r>
              <w:rPr>
                <w:rFonts w:ascii="Arial" w:cs="Arial" w:eastAsia="Arial" w:hAnsi="Arial"/>
                <w:sz w:val="14"/>
                <w:szCs w:val="14"/>
                <w:b w:val="1"/>
                <w:bCs w:val="1"/>
                <w:color w:val="auto"/>
              </w:rPr>
              <w:t>Three Months Ended</w:t>
            </w: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80" w:type="dxa"/>
            <w:vAlign w:val="bottom"/>
            <w:gridSpan w:val="5"/>
          </w:tcPr>
          <w:p>
            <w:pPr>
              <w:jc w:val="right"/>
              <w:ind w:right="540"/>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7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3"/>
          </w:tcPr>
          <w:p>
            <w:pPr>
              <w:jc w:val="right"/>
              <w:ind w:right="322"/>
              <w:spacing w:after="0"/>
              <w:rPr>
                <w:sz w:val="20"/>
                <w:szCs w:val="20"/>
                <w:color w:val="auto"/>
              </w:rPr>
            </w:pPr>
            <w:r>
              <w:rPr>
                <w:rFonts w:ascii="Arial" w:cs="Arial" w:eastAsia="Arial" w:hAnsi="Arial"/>
                <w:sz w:val="14"/>
                <w:szCs w:val="14"/>
                <w:b w:val="1"/>
                <w:bCs w:val="1"/>
                <w:color w:val="auto"/>
                <w:w w:val="93"/>
              </w:rPr>
              <w:t>September 30,</w:t>
            </w:r>
          </w:p>
        </w:tc>
        <w:tc>
          <w:tcPr>
            <w:tcW w:w="3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3"/>
              </w:rPr>
              <w:t>September 30,</w:t>
            </w:r>
          </w:p>
        </w:tc>
        <w:tc>
          <w:tcPr>
            <w:tcW w:w="780" w:type="dxa"/>
            <w:vAlign w:val="bottom"/>
            <w:tcBorders>
              <w:bottom w:val="single" w:sz="8" w:color="auto"/>
            </w:tcBorders>
          </w:tcPr>
          <w:p>
            <w:pPr>
              <w:spacing w:after="0"/>
              <w:rPr>
                <w:sz w:val="16"/>
                <w:szCs w:val="16"/>
                <w:color w:val="auto"/>
              </w:rPr>
            </w:pPr>
          </w:p>
        </w:tc>
      </w:tr>
      <w:tr>
        <w:trPr>
          <w:trHeight w:val="183"/>
        </w:trPr>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38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w w:val="96"/>
              </w:rPr>
              <w:t>2020</w:t>
            </w:r>
          </w:p>
        </w:tc>
      </w:tr>
      <w:tr>
        <w:trPr>
          <w:trHeight w:val="212"/>
        </w:trPr>
        <w:tc>
          <w:tcPr>
            <w:tcW w:w="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60" w:type="dxa"/>
            <w:vAlign w:val="bottom"/>
            <w:gridSpan w:val="3"/>
          </w:tcPr>
          <w:p>
            <w:pPr>
              <w:jc w:val="right"/>
              <w:ind w:right="364"/>
              <w:spacing w:after="0"/>
              <w:rPr>
                <w:sz w:val="20"/>
                <w:szCs w:val="20"/>
                <w:color w:val="auto"/>
              </w:rPr>
            </w:pPr>
            <w:r>
              <w:rPr>
                <w:rFonts w:ascii="Arial" w:cs="Arial" w:eastAsia="Arial" w:hAnsi="Arial"/>
                <w:sz w:val="14"/>
                <w:szCs w:val="14"/>
                <w:b w:val="1"/>
                <w:bCs w:val="1"/>
                <w:color w:val="auto"/>
              </w:rPr>
              <w:t>(In millions)</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22"/>
        </w:trPr>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9"/>
                <w:szCs w:val="19"/>
                <w:color w:val="auto"/>
              </w:rPr>
            </w:pPr>
          </w:p>
        </w:tc>
        <w:tc>
          <w:tcPr>
            <w:tcW w:w="800" w:type="dxa"/>
            <w:vAlign w:val="bottom"/>
          </w:tcPr>
          <w:p>
            <w:pPr>
              <w:jc w:val="right"/>
              <w:ind w:right="622"/>
              <w:spacing w:after="0"/>
              <w:rPr>
                <w:sz w:val="20"/>
                <w:szCs w:val="20"/>
                <w:color w:val="auto"/>
              </w:rPr>
            </w:pPr>
            <w:r>
              <w:rPr>
                <w:rFonts w:ascii="Arial" w:cs="Arial" w:eastAsia="Arial" w:hAnsi="Arial"/>
                <w:sz w:val="16"/>
                <w:szCs w:val="16"/>
                <w:color w:val="auto"/>
                <w:w w:val="89"/>
              </w:rPr>
              <w:t>$</w:t>
            </w:r>
          </w:p>
        </w:tc>
        <w:tc>
          <w:tcPr>
            <w:tcW w:w="500" w:type="dxa"/>
            <w:vAlign w:val="bottom"/>
            <w:gridSpan w:val="2"/>
          </w:tcPr>
          <w:p>
            <w:pPr>
              <w:jc w:val="center"/>
              <w:ind w:right="20"/>
              <w:spacing w:after="0"/>
              <w:rPr>
                <w:sz w:val="20"/>
                <w:szCs w:val="20"/>
                <w:color w:val="auto"/>
              </w:rPr>
            </w:pPr>
            <w:r>
              <w:rPr>
                <w:rFonts w:ascii="Arial" w:cs="Arial" w:eastAsia="Arial" w:hAnsi="Arial"/>
                <w:sz w:val="16"/>
                <w:szCs w:val="16"/>
                <w:color w:val="auto"/>
                <w:w w:val="99"/>
              </w:rPr>
              <w:t>—</w:t>
            </w:r>
          </w:p>
        </w:tc>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29</w:t>
            </w:r>
          </w:p>
        </w:tc>
        <w:tc>
          <w:tcPr>
            <w:tcW w:w="120" w:type="dxa"/>
            <w:vAlign w:val="bottom"/>
          </w:tcPr>
          <w:p>
            <w:pPr>
              <w:spacing w:after="0"/>
              <w:rPr>
                <w:sz w:val="19"/>
                <w:szCs w:val="19"/>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7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0" w:type="dxa"/>
            <w:vAlign w:val="bottom"/>
          </w:tcPr>
          <w:p>
            <w:pPr>
              <w:spacing w:after="0"/>
              <w:rPr>
                <w:sz w:val="18"/>
                <w:szCs w:val="18"/>
                <w:color w:val="auto"/>
              </w:rPr>
            </w:pPr>
          </w:p>
        </w:tc>
        <w:tc>
          <w:tcPr>
            <w:tcW w:w="500" w:type="dxa"/>
            <w:vAlign w:val="bottom"/>
            <w:gridSpan w:val="2"/>
          </w:tcPr>
          <w:p>
            <w:pPr>
              <w:jc w:val="center"/>
              <w:ind w:right="20"/>
              <w:spacing w:after="0"/>
              <w:rPr>
                <w:sz w:val="20"/>
                <w:szCs w:val="20"/>
                <w:color w:val="auto"/>
              </w:rPr>
            </w:pPr>
            <w:r>
              <w:rPr>
                <w:rFonts w:ascii="Arial" w:cs="Arial" w:eastAsia="Arial" w:hAnsi="Arial"/>
                <w:sz w:val="16"/>
                <w:szCs w:val="16"/>
                <w:color w:val="auto"/>
                <w:w w:val="99"/>
              </w:rPr>
              <w:t>—</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(147)</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(2,126)</w:t>
            </w:r>
          </w:p>
        </w:tc>
      </w:tr>
      <w:tr>
        <w:trPr>
          <w:trHeight w:val="216"/>
        </w:trPr>
        <w:tc>
          <w:tcPr>
            <w:tcW w:w="7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0" w:type="dxa"/>
            <w:vAlign w:val="bottom"/>
          </w:tcPr>
          <w:p>
            <w:pPr>
              <w:spacing w:after="0"/>
              <w:rPr>
                <w:sz w:val="18"/>
                <w:szCs w:val="18"/>
                <w:color w:val="auto"/>
              </w:rPr>
            </w:pPr>
          </w:p>
        </w:tc>
        <w:tc>
          <w:tcPr>
            <w:tcW w:w="500" w:type="dxa"/>
            <w:vAlign w:val="bottom"/>
            <w:gridSpan w:val="2"/>
          </w:tcPr>
          <w:p>
            <w:pPr>
              <w:jc w:val="center"/>
              <w:ind w:right="20"/>
              <w:spacing w:after="0"/>
              <w:rPr>
                <w:sz w:val="20"/>
                <w:szCs w:val="20"/>
                <w:color w:val="auto"/>
              </w:rPr>
            </w:pPr>
            <w:r>
              <w:rPr>
                <w:rFonts w:ascii="Arial" w:cs="Arial" w:eastAsia="Arial" w:hAnsi="Arial"/>
                <w:sz w:val="16"/>
                <w:szCs w:val="16"/>
                <w:color w:val="auto"/>
                <w:w w:val="99"/>
              </w:rPr>
              <w:t>—</w:t>
            </w:r>
          </w:p>
        </w:tc>
        <w:tc>
          <w:tcPr>
            <w:tcW w:w="760" w:type="dxa"/>
            <w:vAlign w:val="bottom"/>
          </w:tcPr>
          <w:p>
            <w:pPr>
              <w:spacing w:after="0"/>
              <w:rPr>
                <w:sz w:val="18"/>
                <w:szCs w:val="18"/>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(152)</w:t>
            </w:r>
          </w:p>
        </w:tc>
      </w:tr>
      <w:tr>
        <w:trPr>
          <w:trHeight w:val="216"/>
        </w:trPr>
        <w:tc>
          <w:tcPr>
            <w:tcW w:w="7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0" w:type="dxa"/>
            <w:vAlign w:val="bottom"/>
          </w:tcPr>
          <w:p>
            <w:pPr>
              <w:spacing w:after="0"/>
              <w:rPr>
                <w:sz w:val="18"/>
                <w:szCs w:val="18"/>
                <w:color w:val="auto"/>
              </w:rPr>
            </w:pPr>
          </w:p>
        </w:tc>
        <w:tc>
          <w:tcPr>
            <w:tcW w:w="500" w:type="dxa"/>
            <w:vAlign w:val="bottom"/>
            <w:gridSpan w:val="2"/>
          </w:tcPr>
          <w:p>
            <w:pPr>
              <w:jc w:val="center"/>
              <w:ind w:right="20"/>
              <w:spacing w:after="0"/>
              <w:rPr>
                <w:sz w:val="20"/>
                <w:szCs w:val="20"/>
                <w:color w:val="auto"/>
              </w:rPr>
            </w:pPr>
            <w:r>
              <w:rPr>
                <w:rFonts w:ascii="Arial" w:cs="Arial" w:eastAsia="Arial" w:hAnsi="Arial"/>
                <w:sz w:val="16"/>
                <w:szCs w:val="16"/>
                <w:color w:val="auto"/>
                <w:w w:val="99"/>
              </w:rPr>
              <w:t>—</w:t>
            </w:r>
          </w:p>
        </w:tc>
        <w:tc>
          <w:tcPr>
            <w:tcW w:w="760" w:type="dxa"/>
            <w:vAlign w:val="bottom"/>
          </w:tcPr>
          <w:p>
            <w:pPr>
              <w:spacing w:after="0"/>
              <w:rPr>
                <w:sz w:val="18"/>
                <w:szCs w:val="18"/>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(53)</w:t>
            </w:r>
          </w:p>
        </w:tc>
      </w:tr>
      <w:tr>
        <w:trPr>
          <w:trHeight w:val="219"/>
        </w:trPr>
        <w:tc>
          <w:tcPr>
            <w:tcW w:w="760" w:type="dxa"/>
            <w:vAlign w:val="bottom"/>
          </w:tcPr>
          <w:p>
            <w:pPr>
              <w:spacing w:after="0"/>
              <w:rPr>
                <w:sz w:val="19"/>
                <w:szCs w:val="19"/>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0" w:type="dxa"/>
            <w:vAlign w:val="bottom"/>
          </w:tcPr>
          <w:p>
            <w:pPr>
              <w:spacing w:after="0"/>
              <w:rPr>
                <w:sz w:val="19"/>
                <w:szCs w:val="19"/>
                <w:color w:val="auto"/>
              </w:rPr>
            </w:pPr>
          </w:p>
        </w:tc>
        <w:tc>
          <w:tcPr>
            <w:tcW w:w="380" w:type="dxa"/>
            <w:vAlign w:val="bottom"/>
          </w:tcPr>
          <w:p>
            <w:pPr>
              <w:jc w:val="center"/>
              <w:spacing w:after="0"/>
              <w:rPr>
                <w:sz w:val="20"/>
                <w:szCs w:val="20"/>
                <w:color w:val="auto"/>
              </w:rPr>
            </w:pPr>
            <w:r>
              <w:rPr>
                <w:rFonts w:ascii="Arial" w:cs="Arial" w:eastAsia="Arial" w:hAnsi="Arial"/>
                <w:sz w:val="16"/>
                <w:szCs w:val="16"/>
                <w:color w:val="auto"/>
                <w:w w:val="91"/>
              </w:rPr>
              <w:t>(26)</w:t>
            </w: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(26)</w:t>
            </w:r>
          </w:p>
        </w:tc>
      </w:tr>
      <w:tr>
        <w:trPr>
          <w:trHeight w:val="209"/>
        </w:trPr>
        <w:tc>
          <w:tcPr>
            <w:tcW w:w="760" w:type="dxa"/>
            <w:vAlign w:val="bottom"/>
            <w:tcBorders>
              <w:top w:val="single" w:sz="8" w:color="auto"/>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8"/>
                <w:szCs w:val="18"/>
                <w:color w:val="auto"/>
              </w:rPr>
            </w:pPr>
          </w:p>
        </w:tc>
        <w:tc>
          <w:tcPr>
            <w:tcW w:w="800" w:type="dxa"/>
            <w:vAlign w:val="bottom"/>
            <w:tcBorders>
              <w:top w:val="single" w:sz="8" w:color="auto"/>
              <w:bottom w:val="single" w:sz="8" w:color="auto"/>
            </w:tcBorders>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6"/>
                <w:szCs w:val="16"/>
                <w:color w:val="auto"/>
                <w:w w:val="91"/>
              </w:rPr>
              <w:t>(26)</w:t>
            </w:r>
          </w:p>
        </w:tc>
        <w:tc>
          <w:tcPr>
            <w:tcW w:w="120" w:type="dxa"/>
            <w:vAlign w:val="bottom"/>
          </w:tcPr>
          <w:p>
            <w:pPr>
              <w:spacing w:after="0"/>
              <w:rPr>
                <w:sz w:val="18"/>
                <w:szCs w:val="18"/>
                <w:color w:val="auto"/>
              </w:rPr>
            </w:pPr>
          </w:p>
        </w:tc>
        <w:tc>
          <w:tcPr>
            <w:tcW w:w="760" w:type="dxa"/>
            <w:vAlign w:val="bottom"/>
            <w:tcBorders>
              <w:top w:val="single" w:sz="8" w:color="auto"/>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(118)</w:t>
            </w:r>
          </w:p>
        </w:tc>
        <w:tc>
          <w:tcPr>
            <w:tcW w:w="120" w:type="dxa"/>
            <w:vAlign w:val="bottom"/>
          </w:tcPr>
          <w:p>
            <w:pPr>
              <w:spacing w:after="0"/>
              <w:rPr>
                <w:sz w:val="18"/>
                <w:szCs w:val="18"/>
                <w:color w:val="auto"/>
              </w:rPr>
            </w:pPr>
          </w:p>
        </w:tc>
        <w:tc>
          <w:tcPr>
            <w:tcW w:w="400" w:type="dxa"/>
            <w:vAlign w:val="bottom"/>
            <w:tcBorders>
              <w:top w:val="single" w:sz="8" w:color="auto"/>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(2,357)</w:t>
            </w:r>
          </w:p>
        </w:tc>
      </w:tr>
      <w:tr>
        <w:trPr>
          <w:trHeight w:val="23"/>
        </w:trPr>
        <w:tc>
          <w:tcPr>
            <w:tcW w:w="7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r>
    </w:tbl>
    <w:p>
      <w:pPr>
        <w:spacing w:after="0" w:line="188" w:lineRule="exact"/>
        <w:rPr>
          <w:sz w:val="20"/>
          <w:szCs w:val="20"/>
          <w:color w:val="auto"/>
        </w:rPr>
      </w:pPr>
    </w:p>
    <w:p>
      <w:pPr>
        <w:sectPr>
          <w:pgSz w:w="11900" w:h="16838" w:orient="portrait"/>
          <w:cols w:equalWidth="0" w:num="2">
            <w:col w:w="5460" w:space="720"/>
            <w:col w:w="5060"/>
          </w:cols>
          <w:pgMar w:left="320" w:top="580" w:right="339" w:bottom="1440" w:gutter="0" w:footer="0" w:header="0"/>
          <w:type w:val="continuous"/>
        </w:sectPr>
      </w:pPr>
    </w:p>
    <w:p>
      <w:pPr>
        <w:jc w:val="both"/>
        <w:spacing w:after="0" w:line="277" w:lineRule="auto"/>
        <w:rPr>
          <w:sz w:val="20"/>
          <w:szCs w:val="20"/>
          <w:color w:val="auto"/>
        </w:rPr>
      </w:pPr>
      <w:r>
        <w:rPr>
          <w:rFonts w:ascii="Arial" w:cs="Arial" w:eastAsia="Arial" w:hAnsi="Arial"/>
          <w:sz w:val="18"/>
          <w:szCs w:val="18"/>
          <w:i w:val="1"/>
          <w:iCs w:val="1"/>
          <w:color w:val="auto"/>
        </w:rPr>
        <w:t xml:space="preserve">Gain on asset sale, net: </w:t>
      </w:r>
      <w:r>
        <w:rPr>
          <w:rFonts w:ascii="Arial" w:cs="Arial" w:eastAsia="Arial" w:hAnsi="Arial"/>
          <w:sz w:val="18"/>
          <w:szCs w:val="18"/>
          <w:color w:val="auto"/>
        </w:rPr>
        <w:t>In the third quarter of 2021, we recognized a pre-tax gain of $29 million ($29 million after income taxes) associated with the sale of</w:t>
      </w:r>
      <w:r>
        <w:rPr>
          <w:rFonts w:ascii="Arial" w:cs="Arial" w:eastAsia="Arial" w:hAnsi="Arial"/>
          <w:sz w:val="18"/>
          <w:szCs w:val="18"/>
          <w:i w:val="1"/>
          <w:iCs w:val="1"/>
          <w:color w:val="auto"/>
        </w:rPr>
        <w:t xml:space="preserve"> </w:t>
      </w:r>
      <w:r>
        <w:rPr>
          <w:rFonts w:ascii="Arial" w:cs="Arial" w:eastAsia="Arial" w:hAnsi="Arial"/>
          <w:sz w:val="18"/>
          <w:szCs w:val="18"/>
          <w:color w:val="auto"/>
        </w:rPr>
        <w:t>our interests in Denmark.</w:t>
      </w:r>
    </w:p>
    <w:p>
      <w:pPr>
        <w:spacing w:after="0" w:line="6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i w:val="1"/>
          <w:iCs w:val="1"/>
          <w:color w:val="auto"/>
        </w:rPr>
        <w:t xml:space="preserve">Impairment and other: </w:t>
      </w:r>
      <w:r>
        <w:rPr>
          <w:rFonts w:ascii="Arial" w:cs="Arial" w:eastAsia="Arial" w:hAnsi="Arial"/>
          <w:sz w:val="18"/>
          <w:szCs w:val="18"/>
          <w:color w:val="auto"/>
        </w:rPr>
        <w:t>In the second quarter of 2021, we recorded a charge of $147 million ($147 million after income taxes) for the total estimated future</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abandonment obligations of the West Delta Field in the Gulf of Mexico. In June 2021, the U.S. Bankruptcy Court approved Fieldwood’s bankruptcy plan which includes discharging decommissioning obligations, subject to conditions precedent, for certain of Fieldwood’s assets. Those obligations will transfer to former owners of the properties, including us with respect to the West Delta Field, which we sold in 2004. Potential recoveries from other parties that previously owned an interest in the West Delta Field have not been recognized as of September 30, 2021. See </w:t>
      </w:r>
      <w:r>
        <w:rPr>
          <w:rFonts w:ascii="Arial" w:cs="Arial" w:eastAsia="Arial" w:hAnsi="Arial"/>
          <w:sz w:val="18"/>
          <w:szCs w:val="18"/>
          <w:i w:val="1"/>
          <w:iCs w:val="1"/>
          <w:color w:val="auto"/>
        </w:rPr>
        <w:t>Note 11, Guarantees and Contingencies</w:t>
      </w:r>
      <w:r>
        <w:rPr>
          <w:rFonts w:ascii="Arial" w:cs="Arial" w:eastAsia="Arial" w:hAnsi="Arial"/>
          <w:sz w:val="18"/>
          <w:szCs w:val="18"/>
          <w:color w:val="auto"/>
        </w:rPr>
        <w:t xml:space="preserve"> in the </w:t>
      </w:r>
      <w:r>
        <w:rPr>
          <w:rFonts w:ascii="Arial" w:cs="Arial" w:eastAsia="Arial" w:hAnsi="Arial"/>
          <w:sz w:val="18"/>
          <w:szCs w:val="18"/>
          <w:i w:val="1"/>
          <w:iCs w:val="1"/>
          <w:color w:val="auto"/>
        </w:rPr>
        <w:t>Notes to Consolidated Financial Statements.</w:t>
      </w:r>
    </w:p>
    <w:p>
      <w:pPr>
        <w:spacing w:after="0" w:line="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the first quarter of 2020, we recorded noncash impairment charges totaling $2.1 billion ($2.0 billion after income taxes) related to our oil and gas properties at North Malay Basin in Malaysia, the South Arne Field in Denmark, and the Stampede Field and the Tubular Bells Field in the Gulf of Mexico, primarily as a result of a lower long-term crude oil price outlook. Other charges totaling $21 million pre-tax ($20 million after income taxes) related to drilling rig right-of-use assets in the Bakken and surplus materials and supplies.</w:t>
      </w:r>
    </w:p>
    <w:p>
      <w:pPr>
        <w:spacing w:after="0" w:line="7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i w:val="1"/>
          <w:iCs w:val="1"/>
          <w:color w:val="auto"/>
        </w:rPr>
        <w:t xml:space="preserve">Dry hole, lease impairment and other exploration expenses: </w:t>
      </w:r>
      <w:r>
        <w:rPr>
          <w:rFonts w:ascii="Arial" w:cs="Arial" w:eastAsia="Arial" w:hAnsi="Arial"/>
          <w:sz w:val="18"/>
          <w:szCs w:val="18"/>
          <w:color w:val="auto"/>
        </w:rPr>
        <w:t>In the first quarter of 2020, we incurred pre-tax charges totaling $152 million ($150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after income taxes), primarily related to the write-off of previously capitalized exploratory wells in the Gulf of Mexico and to impair certain exploration leasehold costs.</w:t>
      </w:r>
    </w:p>
    <w:p>
      <w:pPr>
        <w:spacing w:after="0" w:line="76"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i w:val="1"/>
          <w:iCs w:val="1"/>
          <w:color w:val="auto"/>
        </w:rPr>
        <w:t xml:space="preserve">Crude oil inventories write-down: </w:t>
      </w:r>
      <w:r>
        <w:rPr>
          <w:rFonts w:ascii="Arial" w:cs="Arial" w:eastAsia="Arial" w:hAnsi="Arial"/>
          <w:sz w:val="18"/>
          <w:szCs w:val="18"/>
          <w:color w:val="auto"/>
        </w:rPr>
        <w:t>In the first quarter of 2020, we incurred a pre-tax charge of $53 million ($52 million after income taxes) to reduce crude</w:t>
      </w:r>
      <w:r>
        <w:rPr>
          <w:rFonts w:ascii="Arial" w:cs="Arial" w:eastAsia="Arial" w:hAnsi="Arial"/>
          <w:sz w:val="18"/>
          <w:szCs w:val="18"/>
          <w:i w:val="1"/>
          <w:iCs w:val="1"/>
          <w:color w:val="auto"/>
        </w:rPr>
        <w:t xml:space="preserve"> </w:t>
      </w:r>
      <w:r>
        <w:rPr>
          <w:rFonts w:ascii="Arial" w:cs="Arial" w:eastAsia="Arial" w:hAnsi="Arial"/>
          <w:sz w:val="18"/>
          <w:szCs w:val="18"/>
          <w:color w:val="auto"/>
        </w:rPr>
        <w:t>oil inventories to their net realizable value.</w:t>
      </w:r>
    </w:p>
    <w:p>
      <w:pPr>
        <w:spacing w:after="0" w:line="62" w:lineRule="exact"/>
        <w:rPr>
          <w:sz w:val="20"/>
          <w:szCs w:val="20"/>
          <w:color w:val="auto"/>
        </w:rPr>
      </w:pPr>
    </w:p>
    <w:p>
      <w:pPr>
        <w:jc w:val="both"/>
        <w:spacing w:after="0" w:line="311" w:lineRule="auto"/>
        <w:rPr>
          <w:sz w:val="20"/>
          <w:szCs w:val="20"/>
          <w:color w:val="auto"/>
        </w:rPr>
      </w:pPr>
      <w:r>
        <w:rPr>
          <w:rFonts w:ascii="Arial" w:cs="Arial" w:eastAsia="Arial" w:hAnsi="Arial"/>
          <w:sz w:val="16"/>
          <w:szCs w:val="16"/>
          <w:i w:val="1"/>
          <w:iCs w:val="1"/>
          <w:color w:val="auto"/>
        </w:rPr>
        <w:t xml:space="preserve">Severance: </w:t>
      </w:r>
      <w:r>
        <w:rPr>
          <w:rFonts w:ascii="Arial" w:cs="Arial" w:eastAsia="Arial" w:hAnsi="Arial"/>
          <w:sz w:val="16"/>
          <w:szCs w:val="16"/>
          <w:color w:val="auto"/>
        </w:rPr>
        <w:t>In the third quarter of 2020, we recorded a pre-tax charge of $26 million ($26 million after income taxes) for employee termination benefits</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incurred related to cost reduction initiatives. The pre-tax amounts are reported in </w:t>
      </w:r>
      <w:r>
        <w:rPr>
          <w:rFonts w:ascii="Arial" w:cs="Arial" w:eastAsia="Arial" w:hAnsi="Arial"/>
          <w:sz w:val="16"/>
          <w:szCs w:val="16"/>
          <w:i w:val="1"/>
          <w:iCs w:val="1"/>
          <w:color w:val="auto"/>
        </w:rPr>
        <w:t>Operating costs and expenses</w:t>
      </w:r>
      <w:r>
        <w:rPr>
          <w:rFonts w:ascii="Arial" w:cs="Arial" w:eastAsia="Arial" w:hAnsi="Arial"/>
          <w:sz w:val="16"/>
          <w:szCs w:val="16"/>
          <w:color w:val="auto"/>
        </w:rPr>
        <w:t xml:space="preserve"> ($20 million), </w:t>
      </w:r>
      <w:r>
        <w:rPr>
          <w:rFonts w:ascii="Arial" w:cs="Arial" w:eastAsia="Arial" w:hAnsi="Arial"/>
          <w:sz w:val="16"/>
          <w:szCs w:val="16"/>
          <w:i w:val="1"/>
          <w:iCs w:val="1"/>
          <w:color w:val="auto"/>
        </w:rPr>
        <w:t>General and administrative</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expenses </w:t>
      </w:r>
      <w:r>
        <w:rPr>
          <w:rFonts w:ascii="Arial" w:cs="Arial" w:eastAsia="Arial" w:hAnsi="Arial"/>
          <w:sz w:val="16"/>
          <w:szCs w:val="16"/>
          <w:color w:val="auto"/>
        </w:rPr>
        <w:t>($5 million), and</w:t>
      </w:r>
      <w:r>
        <w:rPr>
          <w:rFonts w:ascii="Arial" w:cs="Arial" w:eastAsia="Arial" w:hAnsi="Arial"/>
          <w:sz w:val="16"/>
          <w:szCs w:val="16"/>
          <w:i w:val="1"/>
          <w:iCs w:val="1"/>
          <w:color w:val="auto"/>
        </w:rPr>
        <w:t xml:space="preserve"> Exploration expenses, including dry holes and lease impairment </w:t>
      </w:r>
      <w:r>
        <w:rPr>
          <w:rFonts w:ascii="Arial" w:cs="Arial" w:eastAsia="Arial" w:hAnsi="Arial"/>
          <w:sz w:val="16"/>
          <w:szCs w:val="16"/>
          <w:color w:val="auto"/>
        </w:rPr>
        <w:t>($1 million) in the</w:t>
      </w:r>
      <w:r>
        <w:rPr>
          <w:rFonts w:ascii="Arial" w:cs="Arial" w:eastAsia="Arial" w:hAnsi="Arial"/>
          <w:sz w:val="16"/>
          <w:szCs w:val="16"/>
          <w:i w:val="1"/>
          <w:iCs w:val="1"/>
          <w:color w:val="auto"/>
        </w:rPr>
        <w:t xml:space="preserve"> Statement of Consolidated Income</w:t>
      </w:r>
      <w:r>
        <w:rPr>
          <w:rFonts w:ascii="Arial" w:cs="Arial" w:eastAsia="Arial" w:hAnsi="Arial"/>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type w:val="continuous"/>
        </w:sectPr>
      </w:pPr>
    </w:p>
    <w:bookmarkStart w:id="27" w:name="page28"/>
    <w:bookmarkEnd w:id="27"/>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Consolidated Results of Operations (continued)</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Midstream</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Following is a summarized income statement for our Midstream operations:</w:t>
      </w:r>
    </w:p>
    <w:p>
      <w:pPr>
        <w:spacing w:after="0" w:line="132"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160" w:type="dxa"/>
            <w:vAlign w:val="bottom"/>
          </w:tcPr>
          <w:p>
            <w:pPr>
              <w:spacing w:after="0"/>
              <w:rPr>
                <w:sz w:val="14"/>
                <w:szCs w:val="14"/>
                <w:color w:val="auto"/>
              </w:rPr>
            </w:pPr>
          </w:p>
        </w:tc>
        <w:tc>
          <w:tcPr>
            <w:tcW w:w="2080" w:type="dxa"/>
            <w:vAlign w:val="bottom"/>
            <w:gridSpan w:val="4"/>
          </w:tcPr>
          <w:p>
            <w:pPr>
              <w:jc w:val="right"/>
              <w:ind w:right="122"/>
              <w:spacing w:after="0"/>
              <w:rPr>
                <w:sz w:val="20"/>
                <w:szCs w:val="20"/>
                <w:color w:val="auto"/>
              </w:rPr>
            </w:pPr>
            <w:r>
              <w:rPr>
                <w:rFonts w:ascii="Arial" w:cs="Arial" w:eastAsia="Arial" w:hAnsi="Arial"/>
                <w:sz w:val="14"/>
                <w:szCs w:val="14"/>
                <w:b w:val="1"/>
                <w:bCs w:val="1"/>
                <w:color w:val="auto"/>
              </w:rPr>
              <w:t>Three Months Ended</w:t>
            </w: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100" w:type="dxa"/>
            <w:vAlign w:val="bottom"/>
            <w:gridSpan w:val="4"/>
          </w:tcPr>
          <w:p>
            <w:pPr>
              <w:jc w:val="right"/>
              <w:ind w:right="162"/>
              <w:spacing w:after="0"/>
              <w:rPr>
                <w:sz w:val="20"/>
                <w:szCs w:val="20"/>
                <w:color w:val="auto"/>
              </w:rPr>
            </w:pPr>
            <w:r>
              <w:rPr>
                <w:rFonts w:ascii="Arial" w:cs="Arial" w:eastAsia="Arial" w:hAnsi="Arial"/>
                <w:sz w:val="14"/>
                <w:szCs w:val="14"/>
                <w:b w:val="1"/>
                <w:bCs w:val="1"/>
                <w:color w:val="auto"/>
              </w:rPr>
              <w:t>Nine Months Ended</w:t>
            </w:r>
          </w:p>
        </w:tc>
        <w:tc>
          <w:tcPr>
            <w:tcW w:w="380" w:type="dxa"/>
            <w:vAlign w:val="bottom"/>
          </w:tcPr>
          <w:p>
            <w:pPr>
              <w:spacing w:after="0"/>
              <w:rPr>
                <w:sz w:val="14"/>
                <w:szCs w:val="14"/>
                <w:color w:val="auto"/>
              </w:rPr>
            </w:pPr>
          </w:p>
        </w:tc>
      </w:tr>
      <w:tr>
        <w:trPr>
          <w:trHeight w:val="188"/>
        </w:trPr>
        <w:tc>
          <w:tcPr>
            <w:tcW w:w="616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3"/>
          </w:tcPr>
          <w:p>
            <w:pPr>
              <w:jc w:val="right"/>
              <w:ind w:right="322"/>
              <w:spacing w:after="0"/>
              <w:rPr>
                <w:sz w:val="20"/>
                <w:szCs w:val="20"/>
                <w:color w:val="auto"/>
              </w:rPr>
            </w:pPr>
            <w:r>
              <w:rPr>
                <w:rFonts w:ascii="Arial" w:cs="Arial" w:eastAsia="Arial" w:hAnsi="Arial"/>
                <w:sz w:val="14"/>
                <w:szCs w:val="14"/>
                <w:b w:val="1"/>
                <w:bCs w:val="1"/>
                <w:color w:val="auto"/>
                <w:w w:val="93"/>
              </w:rPr>
              <w:t>September 30,</w:t>
            </w:r>
          </w:p>
        </w:tc>
        <w:tc>
          <w:tcPr>
            <w:tcW w:w="3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right"/>
              <w:ind w:right="342"/>
              <w:spacing w:after="0"/>
              <w:rPr>
                <w:sz w:val="20"/>
                <w:szCs w:val="20"/>
                <w:color w:val="auto"/>
              </w:rPr>
            </w:pPr>
            <w:r>
              <w:rPr>
                <w:rFonts w:ascii="Arial" w:cs="Arial" w:eastAsia="Arial" w:hAnsi="Arial"/>
                <w:sz w:val="14"/>
                <w:szCs w:val="14"/>
                <w:b w:val="1"/>
                <w:bCs w:val="1"/>
                <w:color w:val="auto"/>
                <w:w w:val="93"/>
              </w:rPr>
              <w:t>September 30,</w:t>
            </w:r>
          </w:p>
        </w:tc>
        <w:tc>
          <w:tcPr>
            <w:tcW w:w="380" w:type="dxa"/>
            <w:vAlign w:val="bottom"/>
            <w:tcBorders>
              <w:bottom w:val="single" w:sz="8" w:color="auto"/>
            </w:tcBorders>
          </w:tcPr>
          <w:p>
            <w:pPr>
              <w:spacing w:after="0"/>
              <w:rPr>
                <w:sz w:val="16"/>
                <w:szCs w:val="16"/>
                <w:color w:val="auto"/>
              </w:rPr>
            </w:pPr>
          </w:p>
        </w:tc>
      </w:tr>
      <w:tr>
        <w:trPr>
          <w:trHeight w:val="183"/>
        </w:trPr>
        <w:tc>
          <w:tcPr>
            <w:tcW w:w="6160" w:type="dxa"/>
            <w:vAlign w:val="bottom"/>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38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Borders>
              <w:bottom w:val="single" w:sz="8" w:color="auto"/>
            </w:tcBorders>
          </w:tcPr>
          <w:p>
            <w:pPr>
              <w:jc w:val="right"/>
              <w:ind w:right="2"/>
              <w:spacing w:after="0"/>
              <w:rPr>
                <w:sz w:val="20"/>
                <w:szCs w:val="20"/>
                <w:color w:val="auto"/>
              </w:rPr>
            </w:pPr>
            <w:r>
              <w:rPr>
                <w:rFonts w:ascii="Arial" w:cs="Arial" w:eastAsia="Arial" w:hAnsi="Arial"/>
                <w:sz w:val="14"/>
                <w:szCs w:val="14"/>
                <w:b w:val="1"/>
                <w:bCs w:val="1"/>
                <w:color w:val="auto"/>
              </w:rPr>
              <w:t>2020</w:t>
            </w:r>
          </w:p>
        </w:tc>
        <w:tc>
          <w:tcPr>
            <w:tcW w:w="380" w:type="dxa"/>
            <w:vAlign w:val="bottom"/>
            <w:tcBorders>
              <w:bottom w:val="single" w:sz="8" w:color="auto"/>
            </w:tcBorders>
          </w:tcPr>
          <w:p>
            <w:pPr>
              <w:spacing w:after="0"/>
              <w:rPr>
                <w:sz w:val="15"/>
                <w:szCs w:val="15"/>
                <w:color w:val="auto"/>
              </w:rPr>
            </w:pPr>
          </w:p>
        </w:tc>
      </w:tr>
      <w:tr>
        <w:trPr>
          <w:trHeight w:val="212"/>
        </w:trPr>
        <w:tc>
          <w:tcPr>
            <w:tcW w:w="6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60" w:type="dxa"/>
            <w:vAlign w:val="bottom"/>
            <w:gridSpan w:val="3"/>
          </w:tcPr>
          <w:p>
            <w:pPr>
              <w:jc w:val="right"/>
              <w:ind w:right="364"/>
              <w:spacing w:after="0"/>
              <w:rPr>
                <w:sz w:val="20"/>
                <w:szCs w:val="20"/>
                <w:color w:val="auto"/>
              </w:rPr>
            </w:pPr>
            <w:r>
              <w:rPr>
                <w:rFonts w:ascii="Arial" w:cs="Arial" w:eastAsia="Arial" w:hAnsi="Arial"/>
                <w:sz w:val="14"/>
                <w:szCs w:val="14"/>
                <w:b w:val="1"/>
                <w:bCs w:val="1"/>
                <w:color w:val="auto"/>
              </w:rPr>
              <w:t>(In millions)</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spacing w:after="0"/>
              <w:rPr>
                <w:sz w:val="18"/>
                <w:szCs w:val="18"/>
                <w:color w:val="auto"/>
              </w:rPr>
            </w:pPr>
          </w:p>
        </w:tc>
      </w:tr>
      <w:tr>
        <w:trPr>
          <w:trHeight w:val="222"/>
        </w:trPr>
        <w:tc>
          <w:tcPr>
            <w:tcW w:w="6160" w:type="dxa"/>
            <w:vAlign w:val="bottom"/>
          </w:tcPr>
          <w:p>
            <w:pPr>
              <w:spacing w:after="0"/>
              <w:rPr>
                <w:sz w:val="20"/>
                <w:szCs w:val="20"/>
                <w:color w:val="auto"/>
              </w:rPr>
            </w:pPr>
            <w:r>
              <w:rPr>
                <w:rFonts w:ascii="Arial" w:cs="Arial" w:eastAsia="Arial" w:hAnsi="Arial"/>
                <w:sz w:val="16"/>
                <w:szCs w:val="16"/>
                <w:b w:val="1"/>
                <w:bCs w:val="1"/>
                <w:color w:val="auto"/>
              </w:rPr>
              <w:t>Revenues and Non-Operating Income</w:t>
            </w:r>
          </w:p>
        </w:tc>
        <w:tc>
          <w:tcPr>
            <w:tcW w:w="7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80" w:type="dxa"/>
            <w:vAlign w:val="bottom"/>
          </w:tcPr>
          <w:p>
            <w:pPr>
              <w:spacing w:after="0"/>
              <w:rPr>
                <w:sz w:val="19"/>
                <w:szCs w:val="19"/>
                <w:color w:val="auto"/>
              </w:rPr>
            </w:pPr>
          </w:p>
        </w:tc>
      </w:tr>
      <w:tr>
        <w:trPr>
          <w:trHeight w:val="216"/>
        </w:trPr>
        <w:tc>
          <w:tcPr>
            <w:tcW w:w="6160" w:type="dxa"/>
            <w:vAlign w:val="bottom"/>
          </w:tcPr>
          <w:p>
            <w:pPr>
              <w:ind w:left="200"/>
              <w:spacing w:after="0"/>
              <w:rPr>
                <w:sz w:val="20"/>
                <w:szCs w:val="20"/>
                <w:color w:val="auto"/>
              </w:rPr>
            </w:pPr>
            <w:r>
              <w:rPr>
                <w:rFonts w:ascii="Arial" w:cs="Arial" w:eastAsia="Arial" w:hAnsi="Arial"/>
                <w:sz w:val="16"/>
                <w:szCs w:val="16"/>
                <w:color w:val="auto"/>
              </w:rPr>
              <w:t>Sales and other operating revenues</w:t>
            </w:r>
          </w:p>
        </w:tc>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304</w:t>
            </w:r>
          </w:p>
        </w:tc>
        <w:tc>
          <w:tcPr>
            <w:tcW w:w="100" w:type="dxa"/>
            <w:vAlign w:val="bottom"/>
          </w:tcPr>
          <w:p>
            <w:pPr>
              <w:spacing w:after="0"/>
              <w:rPr>
                <w:sz w:val="18"/>
                <w:szCs w:val="18"/>
                <w:color w:val="auto"/>
              </w:rPr>
            </w:pPr>
          </w:p>
        </w:tc>
        <w:tc>
          <w:tcPr>
            <w:tcW w:w="800" w:type="dxa"/>
            <w:vAlign w:val="bottom"/>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Pr>
          <w:p>
            <w:pPr>
              <w:jc w:val="right"/>
              <w:spacing w:after="0"/>
              <w:rPr>
                <w:sz w:val="20"/>
                <w:szCs w:val="20"/>
                <w:color w:val="auto"/>
              </w:rPr>
            </w:pPr>
            <w:r>
              <w:rPr>
                <w:rFonts w:ascii="Arial" w:cs="Arial" w:eastAsia="Arial" w:hAnsi="Arial"/>
                <w:sz w:val="16"/>
                <w:szCs w:val="16"/>
                <w:color w:val="auto"/>
              </w:rPr>
              <w:t>264</w:t>
            </w:r>
          </w:p>
        </w:tc>
        <w:tc>
          <w:tcPr>
            <w:tcW w:w="120" w:type="dxa"/>
            <w:vAlign w:val="bottom"/>
          </w:tcPr>
          <w:p>
            <w:pPr>
              <w:spacing w:after="0"/>
              <w:rPr>
                <w:sz w:val="18"/>
                <w:szCs w:val="18"/>
                <w:color w:val="auto"/>
              </w:rPr>
            </w:pPr>
          </w:p>
        </w:tc>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887</w:t>
            </w:r>
          </w:p>
        </w:tc>
        <w:tc>
          <w:tcPr>
            <w:tcW w:w="120" w:type="dxa"/>
            <w:vAlign w:val="bottom"/>
          </w:tcPr>
          <w:p>
            <w:pPr>
              <w:spacing w:after="0"/>
              <w:rPr>
                <w:sz w:val="18"/>
                <w:szCs w:val="18"/>
                <w:color w:val="auto"/>
              </w:rPr>
            </w:pPr>
          </w:p>
        </w:tc>
        <w:tc>
          <w:tcPr>
            <w:tcW w:w="800" w:type="dxa"/>
            <w:vAlign w:val="bottom"/>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Pr>
          <w:p>
            <w:pPr>
              <w:jc w:val="right"/>
              <w:spacing w:after="0"/>
              <w:rPr>
                <w:sz w:val="20"/>
                <w:szCs w:val="20"/>
                <w:color w:val="auto"/>
              </w:rPr>
            </w:pPr>
            <w:r>
              <w:rPr>
                <w:rFonts w:ascii="Arial" w:cs="Arial" w:eastAsia="Arial" w:hAnsi="Arial"/>
                <w:sz w:val="16"/>
                <w:szCs w:val="16"/>
                <w:color w:val="auto"/>
              </w:rPr>
              <w:t>825</w:t>
            </w:r>
          </w:p>
        </w:tc>
      </w:tr>
      <w:tr>
        <w:trPr>
          <w:trHeight w:val="216"/>
        </w:trPr>
        <w:tc>
          <w:tcPr>
            <w:tcW w:w="6160" w:type="dxa"/>
            <w:vAlign w:val="bottom"/>
          </w:tcPr>
          <w:p>
            <w:pPr>
              <w:ind w:left="200"/>
              <w:spacing w:after="0"/>
              <w:rPr>
                <w:sz w:val="20"/>
                <w:szCs w:val="20"/>
                <w:color w:val="auto"/>
              </w:rPr>
            </w:pPr>
            <w:r>
              <w:rPr>
                <w:rFonts w:ascii="Arial" w:cs="Arial" w:eastAsia="Arial" w:hAnsi="Arial"/>
                <w:sz w:val="16"/>
                <w:szCs w:val="16"/>
                <w:color w:val="auto"/>
              </w:rPr>
              <w:t>Other, net</w:t>
            </w: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w:t>
            </w:r>
          </w:p>
        </w:tc>
        <w:tc>
          <w:tcPr>
            <w:tcW w:w="10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w:t>
            </w:r>
          </w:p>
        </w:tc>
        <w:tc>
          <w:tcPr>
            <w:tcW w:w="12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w:t>
            </w:r>
          </w:p>
        </w:tc>
      </w:tr>
      <w:tr>
        <w:trPr>
          <w:trHeight w:val="210"/>
        </w:trPr>
        <w:tc>
          <w:tcPr>
            <w:tcW w:w="6160" w:type="dxa"/>
            <w:vAlign w:val="bottom"/>
          </w:tcPr>
          <w:p>
            <w:pPr>
              <w:ind w:left="460"/>
              <w:spacing w:after="0"/>
              <w:rPr>
                <w:sz w:val="20"/>
                <w:szCs w:val="20"/>
                <w:color w:val="auto"/>
              </w:rPr>
            </w:pPr>
            <w:r>
              <w:rPr>
                <w:rFonts w:ascii="Arial" w:cs="Arial" w:eastAsia="Arial" w:hAnsi="Arial"/>
                <w:sz w:val="16"/>
                <w:szCs w:val="16"/>
                <w:color w:val="auto"/>
              </w:rPr>
              <w:t>Total revenues and non-operating income</w:t>
            </w: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307</w:t>
            </w:r>
          </w:p>
        </w:tc>
        <w:tc>
          <w:tcPr>
            <w:tcW w:w="10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268</w:t>
            </w:r>
          </w:p>
        </w:tc>
        <w:tc>
          <w:tcPr>
            <w:tcW w:w="120" w:type="dxa"/>
            <w:vAlign w:val="bottom"/>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896</w:t>
            </w:r>
          </w:p>
        </w:tc>
        <w:tc>
          <w:tcPr>
            <w:tcW w:w="12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832</w:t>
            </w:r>
          </w:p>
        </w:tc>
      </w:tr>
      <w:tr>
        <w:trPr>
          <w:trHeight w:val="209"/>
        </w:trPr>
        <w:tc>
          <w:tcPr>
            <w:tcW w:w="6160" w:type="dxa"/>
            <w:vAlign w:val="bottom"/>
          </w:tcPr>
          <w:p>
            <w:pPr>
              <w:spacing w:after="0"/>
              <w:rPr>
                <w:sz w:val="20"/>
                <w:szCs w:val="20"/>
                <w:color w:val="auto"/>
              </w:rPr>
            </w:pPr>
            <w:r>
              <w:rPr>
                <w:rFonts w:ascii="Arial" w:cs="Arial" w:eastAsia="Arial" w:hAnsi="Arial"/>
                <w:sz w:val="16"/>
                <w:szCs w:val="16"/>
                <w:b w:val="1"/>
                <w:bCs w:val="1"/>
                <w:color w:val="auto"/>
              </w:rPr>
              <w:t>Costs and Expenses</w:t>
            </w:r>
          </w:p>
        </w:tc>
        <w:tc>
          <w:tcPr>
            <w:tcW w:w="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spacing w:after="0"/>
              <w:rPr>
                <w:sz w:val="18"/>
                <w:szCs w:val="18"/>
                <w:color w:val="auto"/>
              </w:rPr>
            </w:pPr>
          </w:p>
        </w:tc>
      </w:tr>
      <w:tr>
        <w:trPr>
          <w:trHeight w:val="216"/>
        </w:trPr>
        <w:tc>
          <w:tcPr>
            <w:tcW w:w="6160" w:type="dxa"/>
            <w:vAlign w:val="bottom"/>
          </w:tcPr>
          <w:p>
            <w:pPr>
              <w:ind w:left="200"/>
              <w:spacing w:after="0"/>
              <w:rPr>
                <w:sz w:val="20"/>
                <w:szCs w:val="20"/>
                <w:color w:val="auto"/>
              </w:rPr>
            </w:pPr>
            <w:r>
              <w:rPr>
                <w:rFonts w:ascii="Arial" w:cs="Arial" w:eastAsia="Arial" w:hAnsi="Arial"/>
                <w:sz w:val="16"/>
                <w:szCs w:val="16"/>
                <w:color w:val="auto"/>
              </w:rPr>
              <w:t>Operating costs and expenses</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98</w:t>
            </w: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84</w:t>
            </w: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222</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271</w:t>
            </w:r>
          </w:p>
        </w:tc>
      </w:tr>
      <w:tr>
        <w:trPr>
          <w:trHeight w:val="216"/>
        </w:trPr>
        <w:tc>
          <w:tcPr>
            <w:tcW w:w="6160" w:type="dxa"/>
            <w:vAlign w:val="bottom"/>
          </w:tcPr>
          <w:p>
            <w:pPr>
              <w:ind w:left="200"/>
              <w:spacing w:after="0"/>
              <w:rPr>
                <w:sz w:val="20"/>
                <w:szCs w:val="20"/>
                <w:color w:val="auto"/>
              </w:rPr>
            </w:pPr>
            <w:r>
              <w:rPr>
                <w:rFonts w:ascii="Arial" w:cs="Arial" w:eastAsia="Arial" w:hAnsi="Arial"/>
                <w:sz w:val="16"/>
                <w:szCs w:val="16"/>
                <w:color w:val="auto"/>
              </w:rPr>
              <w:t>General and administrative expenses</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6</w:t>
            </w: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4</w:t>
            </w: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17</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16</w:t>
            </w:r>
          </w:p>
        </w:tc>
      </w:tr>
      <w:tr>
        <w:trPr>
          <w:trHeight w:val="216"/>
        </w:trPr>
        <w:tc>
          <w:tcPr>
            <w:tcW w:w="6160" w:type="dxa"/>
            <w:vAlign w:val="bottom"/>
          </w:tcPr>
          <w:p>
            <w:pPr>
              <w:ind w:left="200"/>
              <w:spacing w:after="0"/>
              <w:rPr>
                <w:sz w:val="20"/>
                <w:szCs w:val="20"/>
                <w:color w:val="auto"/>
              </w:rPr>
            </w:pPr>
            <w:r>
              <w:rPr>
                <w:rFonts w:ascii="Arial" w:cs="Arial" w:eastAsia="Arial" w:hAnsi="Arial"/>
                <w:sz w:val="16"/>
                <w:szCs w:val="16"/>
                <w:color w:val="auto"/>
              </w:rPr>
              <w:t>Interest expense</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28</w:t>
            </w: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23</w:t>
            </w: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74</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71</w:t>
            </w:r>
          </w:p>
        </w:tc>
      </w:tr>
      <w:tr>
        <w:trPr>
          <w:trHeight w:val="216"/>
        </w:trPr>
        <w:tc>
          <w:tcPr>
            <w:tcW w:w="6160" w:type="dxa"/>
            <w:vAlign w:val="bottom"/>
          </w:tcPr>
          <w:p>
            <w:pPr>
              <w:ind w:left="200"/>
              <w:spacing w:after="0"/>
              <w:rPr>
                <w:sz w:val="20"/>
                <w:szCs w:val="20"/>
                <w:color w:val="auto"/>
              </w:rPr>
            </w:pPr>
            <w:r>
              <w:rPr>
                <w:rFonts w:ascii="Arial" w:cs="Arial" w:eastAsia="Arial" w:hAnsi="Arial"/>
                <w:sz w:val="16"/>
                <w:szCs w:val="16"/>
                <w:color w:val="auto"/>
              </w:rPr>
              <w:t>Depreciation, depletion and amortization</w:t>
            </w: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w:t>
            </w:r>
          </w:p>
        </w:tc>
        <w:tc>
          <w:tcPr>
            <w:tcW w:w="10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w:t>
            </w:r>
          </w:p>
        </w:tc>
        <w:tc>
          <w:tcPr>
            <w:tcW w:w="120" w:type="dxa"/>
            <w:vAlign w:val="bottom"/>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122</w:t>
            </w:r>
          </w:p>
        </w:tc>
        <w:tc>
          <w:tcPr>
            <w:tcW w:w="12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117</w:t>
            </w:r>
          </w:p>
        </w:tc>
      </w:tr>
      <w:tr>
        <w:trPr>
          <w:trHeight w:val="209"/>
        </w:trPr>
        <w:tc>
          <w:tcPr>
            <w:tcW w:w="6160" w:type="dxa"/>
            <w:vAlign w:val="bottom"/>
          </w:tcPr>
          <w:p>
            <w:pPr>
              <w:ind w:left="460"/>
              <w:spacing w:after="0"/>
              <w:rPr>
                <w:sz w:val="20"/>
                <w:szCs w:val="20"/>
                <w:color w:val="auto"/>
              </w:rPr>
            </w:pPr>
            <w:r>
              <w:rPr>
                <w:rFonts w:ascii="Arial" w:cs="Arial" w:eastAsia="Arial" w:hAnsi="Arial"/>
                <w:sz w:val="16"/>
                <w:szCs w:val="16"/>
                <w:color w:val="auto"/>
              </w:rPr>
              <w:t>Total costs and expenses</w:t>
            </w: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173</w:t>
            </w:r>
          </w:p>
        </w:tc>
        <w:tc>
          <w:tcPr>
            <w:tcW w:w="10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151</w:t>
            </w:r>
          </w:p>
        </w:tc>
        <w:tc>
          <w:tcPr>
            <w:tcW w:w="120" w:type="dxa"/>
            <w:vAlign w:val="bottom"/>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435</w:t>
            </w:r>
          </w:p>
        </w:tc>
        <w:tc>
          <w:tcPr>
            <w:tcW w:w="12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475</w:t>
            </w:r>
          </w:p>
        </w:tc>
      </w:tr>
      <w:tr>
        <w:trPr>
          <w:trHeight w:val="209"/>
        </w:trPr>
        <w:tc>
          <w:tcPr>
            <w:tcW w:w="6160" w:type="dxa"/>
            <w:vAlign w:val="bottom"/>
          </w:tcPr>
          <w:p>
            <w:pPr>
              <w:spacing w:after="0"/>
              <w:rPr>
                <w:sz w:val="20"/>
                <w:szCs w:val="20"/>
                <w:color w:val="auto"/>
              </w:rPr>
            </w:pPr>
            <w:r>
              <w:rPr>
                <w:rFonts w:ascii="Arial" w:cs="Arial" w:eastAsia="Arial" w:hAnsi="Arial"/>
                <w:sz w:val="16"/>
                <w:szCs w:val="16"/>
                <w:b w:val="1"/>
                <w:bCs w:val="1"/>
                <w:color w:val="auto"/>
              </w:rPr>
              <w:t>Results of Operations Before Income Taxes</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134</w:t>
            </w: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117</w:t>
            </w: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461</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357</w:t>
            </w:r>
          </w:p>
        </w:tc>
      </w:tr>
      <w:tr>
        <w:trPr>
          <w:trHeight w:val="216"/>
        </w:trPr>
        <w:tc>
          <w:tcPr>
            <w:tcW w:w="6160" w:type="dxa"/>
            <w:vAlign w:val="bottom"/>
          </w:tcPr>
          <w:p>
            <w:pPr>
              <w:ind w:left="200"/>
              <w:spacing w:after="0"/>
              <w:rPr>
                <w:sz w:val="20"/>
                <w:szCs w:val="20"/>
                <w:color w:val="auto"/>
              </w:rPr>
            </w:pPr>
            <w:r>
              <w:rPr>
                <w:rFonts w:ascii="Arial" w:cs="Arial" w:eastAsia="Arial" w:hAnsi="Arial"/>
                <w:sz w:val="16"/>
                <w:szCs w:val="16"/>
                <w:color w:val="auto"/>
              </w:rPr>
              <w:t>Provision (benefit) for income taxes</w:t>
            </w: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w:t>
            </w:r>
          </w:p>
        </w:tc>
        <w:tc>
          <w:tcPr>
            <w:tcW w:w="10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w:t>
            </w:r>
          </w:p>
        </w:tc>
        <w:tc>
          <w:tcPr>
            <w:tcW w:w="12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w:t>
            </w:r>
          </w:p>
        </w:tc>
      </w:tr>
      <w:tr>
        <w:trPr>
          <w:trHeight w:val="209"/>
        </w:trPr>
        <w:tc>
          <w:tcPr>
            <w:tcW w:w="6160" w:type="dxa"/>
            <w:vAlign w:val="bottom"/>
          </w:tcPr>
          <w:p>
            <w:pPr>
              <w:spacing w:after="0"/>
              <w:rPr>
                <w:sz w:val="20"/>
                <w:szCs w:val="20"/>
                <w:color w:val="auto"/>
              </w:rPr>
            </w:pPr>
            <w:r>
              <w:rPr>
                <w:rFonts w:ascii="Arial" w:cs="Arial" w:eastAsia="Arial" w:hAnsi="Arial"/>
                <w:sz w:val="16"/>
                <w:szCs w:val="16"/>
                <w:b w:val="1"/>
                <w:bCs w:val="1"/>
                <w:color w:val="auto"/>
              </w:rPr>
              <w:t>Net Income (Loss)</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131</w:t>
            </w: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116</w:t>
            </w: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452</w:t>
            </w: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352</w:t>
            </w:r>
          </w:p>
        </w:tc>
      </w:tr>
      <w:tr>
        <w:trPr>
          <w:trHeight w:val="219"/>
        </w:trPr>
        <w:tc>
          <w:tcPr>
            <w:tcW w:w="6160" w:type="dxa"/>
            <w:vAlign w:val="bottom"/>
          </w:tcPr>
          <w:p>
            <w:pPr>
              <w:ind w:left="200"/>
              <w:spacing w:after="0"/>
              <w:rPr>
                <w:sz w:val="20"/>
                <w:szCs w:val="20"/>
                <w:color w:val="auto"/>
              </w:rPr>
            </w:pPr>
            <w:r>
              <w:rPr>
                <w:rFonts w:ascii="Arial" w:cs="Arial" w:eastAsia="Arial" w:hAnsi="Arial"/>
                <w:sz w:val="16"/>
                <w:szCs w:val="16"/>
                <w:color w:val="auto"/>
              </w:rPr>
              <w:t>Less: Net income (loss) attributable to noncontrolling interests</w:t>
            </w:r>
          </w:p>
        </w:tc>
        <w:tc>
          <w:tcPr>
            <w:tcW w:w="76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70</w:t>
            </w:r>
          </w:p>
        </w:tc>
        <w:tc>
          <w:tcPr>
            <w:tcW w:w="100" w:type="dxa"/>
            <w:vAlign w:val="bottom"/>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60</w:t>
            </w:r>
          </w:p>
        </w:tc>
        <w:tc>
          <w:tcPr>
            <w:tcW w:w="120" w:type="dxa"/>
            <w:vAlign w:val="bottom"/>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240</w:t>
            </w:r>
          </w:p>
        </w:tc>
        <w:tc>
          <w:tcPr>
            <w:tcW w:w="120" w:type="dxa"/>
            <w:vAlign w:val="bottom"/>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184</w:t>
            </w:r>
          </w:p>
        </w:tc>
      </w:tr>
      <w:tr>
        <w:trPr>
          <w:trHeight w:val="212"/>
        </w:trPr>
        <w:tc>
          <w:tcPr>
            <w:tcW w:w="6160" w:type="dxa"/>
            <w:vAlign w:val="bottom"/>
          </w:tcPr>
          <w:p>
            <w:pPr>
              <w:spacing w:after="0"/>
              <w:rPr>
                <w:sz w:val="20"/>
                <w:szCs w:val="20"/>
                <w:color w:val="auto"/>
              </w:rPr>
            </w:pPr>
            <w:r>
              <w:rPr>
                <w:rFonts w:ascii="Arial" w:cs="Arial" w:eastAsia="Arial" w:hAnsi="Arial"/>
                <w:sz w:val="16"/>
                <w:szCs w:val="16"/>
                <w:b w:val="1"/>
                <w:bCs w:val="1"/>
                <w:color w:val="auto"/>
              </w:rPr>
              <w:t>Net Income (Loss) Attributable to Hess Corporation</w:t>
            </w:r>
          </w:p>
        </w:tc>
        <w:tc>
          <w:tcPr>
            <w:tcW w:w="760" w:type="dxa"/>
            <w:vAlign w:val="bottom"/>
            <w:tcBorders>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61</w:t>
            </w:r>
          </w:p>
        </w:tc>
        <w:tc>
          <w:tcPr>
            <w:tcW w:w="100" w:type="dxa"/>
            <w:vAlign w:val="bottom"/>
          </w:tcPr>
          <w:p>
            <w:pPr>
              <w:spacing w:after="0"/>
              <w:rPr>
                <w:sz w:val="18"/>
                <w:szCs w:val="18"/>
                <w:color w:val="auto"/>
              </w:rPr>
            </w:pPr>
          </w:p>
        </w:tc>
        <w:tc>
          <w:tcPr>
            <w:tcW w:w="800" w:type="dxa"/>
            <w:vAlign w:val="bottom"/>
            <w:tcBorders>
              <w:bottom w:val="single" w:sz="8" w:color="auto"/>
            </w:tcBorders>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56</w:t>
            </w:r>
          </w:p>
        </w:tc>
        <w:tc>
          <w:tcPr>
            <w:tcW w:w="120" w:type="dxa"/>
            <w:vAlign w:val="bottom"/>
          </w:tcPr>
          <w:p>
            <w:pPr>
              <w:spacing w:after="0"/>
              <w:rPr>
                <w:sz w:val="18"/>
                <w:szCs w:val="18"/>
                <w:color w:val="auto"/>
              </w:rPr>
            </w:pPr>
          </w:p>
        </w:tc>
        <w:tc>
          <w:tcPr>
            <w:tcW w:w="760" w:type="dxa"/>
            <w:vAlign w:val="bottom"/>
            <w:tcBorders>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212</w:t>
            </w:r>
          </w:p>
        </w:tc>
        <w:tc>
          <w:tcPr>
            <w:tcW w:w="120" w:type="dxa"/>
            <w:vAlign w:val="bottom"/>
          </w:tcPr>
          <w:p>
            <w:pPr>
              <w:spacing w:after="0"/>
              <w:rPr>
                <w:sz w:val="18"/>
                <w:szCs w:val="18"/>
                <w:color w:val="auto"/>
              </w:rPr>
            </w:pPr>
          </w:p>
        </w:tc>
        <w:tc>
          <w:tcPr>
            <w:tcW w:w="800" w:type="dxa"/>
            <w:vAlign w:val="bottom"/>
            <w:tcBorders>
              <w:bottom w:val="single" w:sz="8" w:color="auto"/>
            </w:tcBorders>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168</w:t>
            </w:r>
          </w:p>
        </w:tc>
      </w:tr>
      <w:tr>
        <w:trPr>
          <w:trHeight w:val="21"/>
        </w:trPr>
        <w:tc>
          <w:tcPr>
            <w:tcW w:w="6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r>
    </w:tbl>
    <w:p>
      <w:pPr>
        <w:spacing w:after="0" w:line="18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Sales and other operating revenues for the third quarter and first nine months of 2021 increased, compared to the corresponding periods in 2020, primarily due to higher minimum volume commitments and tariff rates partially offset by lower pass-through rail transportation revenue.</w:t>
      </w:r>
    </w:p>
    <w:p>
      <w:pPr>
        <w:spacing w:after="0" w:line="6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Operating costs and expenses for the third quarter of 2021 increased compared to the third quarter of 2020, primarily due to costs associated with the planned Tioga Gas Plant maintenance turnaround. Operating costs and expenses for the first nine months of 2021 decreased compared to the first nine months of 2020 primarily due to lower pass-through rail transportation costs, which were partially offset by the costs associated with the planned Tioga Gas Plant maintenance turnaround.</w:t>
      </w:r>
    </w:p>
    <w:p>
      <w:pPr>
        <w:spacing w:after="0" w:line="7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Interest expense for the third quarter and first nine months of 2021 increased, compared to the corresponding periods in 2020, primarily due to the $750 million in aggregate principal amount of 4.250% fixed-rate senior unsecured notes issued in August 2021.</w:t>
      </w:r>
    </w:p>
    <w:p>
      <w:pPr>
        <w:spacing w:after="0" w:line="6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Excluding items affecting comparability of earnings, net income attributable to Hess Corporation from the Midstream segment is estimated to be approximately $70 million in the fourth quarter of 2021.</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Interest and Other</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Corporate, Interest and Other expenses:</w:t>
      </w:r>
    </w:p>
    <w:p>
      <w:pPr>
        <w:spacing w:after="0" w:line="105"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160" w:type="dxa"/>
            <w:vAlign w:val="bottom"/>
          </w:tcPr>
          <w:p>
            <w:pPr>
              <w:spacing w:after="0"/>
              <w:rPr>
                <w:sz w:val="14"/>
                <w:szCs w:val="14"/>
                <w:color w:val="auto"/>
              </w:rPr>
            </w:pPr>
          </w:p>
        </w:tc>
        <w:tc>
          <w:tcPr>
            <w:tcW w:w="2080" w:type="dxa"/>
            <w:vAlign w:val="bottom"/>
            <w:gridSpan w:val="4"/>
          </w:tcPr>
          <w:p>
            <w:pPr>
              <w:jc w:val="right"/>
              <w:ind w:right="122"/>
              <w:spacing w:after="0"/>
              <w:rPr>
                <w:sz w:val="20"/>
                <w:szCs w:val="20"/>
                <w:color w:val="auto"/>
              </w:rPr>
            </w:pPr>
            <w:r>
              <w:rPr>
                <w:rFonts w:ascii="Arial" w:cs="Arial" w:eastAsia="Arial" w:hAnsi="Arial"/>
                <w:sz w:val="14"/>
                <w:szCs w:val="14"/>
                <w:b w:val="1"/>
                <w:bCs w:val="1"/>
                <w:color w:val="auto"/>
              </w:rPr>
              <w:t>Three Months Ended</w:t>
            </w: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100" w:type="dxa"/>
            <w:vAlign w:val="bottom"/>
            <w:gridSpan w:val="4"/>
          </w:tcPr>
          <w:p>
            <w:pPr>
              <w:jc w:val="right"/>
              <w:ind w:right="540"/>
              <w:spacing w:after="0"/>
              <w:rPr>
                <w:sz w:val="20"/>
                <w:szCs w:val="20"/>
                <w:color w:val="auto"/>
              </w:rPr>
            </w:pPr>
            <w:r>
              <w:rPr>
                <w:rFonts w:ascii="Arial" w:cs="Arial" w:eastAsia="Arial" w:hAnsi="Arial"/>
                <w:sz w:val="14"/>
                <w:szCs w:val="14"/>
                <w:b w:val="1"/>
                <w:bCs w:val="1"/>
                <w:color w:val="auto"/>
              </w:rPr>
              <w:t>Nine Months Ended</w:t>
            </w:r>
          </w:p>
        </w:tc>
      </w:tr>
      <w:tr>
        <w:trPr>
          <w:trHeight w:val="188"/>
        </w:trPr>
        <w:tc>
          <w:tcPr>
            <w:tcW w:w="6160" w:type="dxa"/>
            <w:vAlign w:val="bottom"/>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3"/>
          </w:tcPr>
          <w:p>
            <w:pPr>
              <w:jc w:val="right"/>
              <w:ind w:right="322"/>
              <w:spacing w:after="0"/>
              <w:rPr>
                <w:sz w:val="20"/>
                <w:szCs w:val="20"/>
                <w:color w:val="auto"/>
              </w:rPr>
            </w:pPr>
            <w:r>
              <w:rPr>
                <w:rFonts w:ascii="Arial" w:cs="Arial" w:eastAsia="Arial" w:hAnsi="Arial"/>
                <w:sz w:val="14"/>
                <w:szCs w:val="14"/>
                <w:b w:val="1"/>
                <w:bCs w:val="1"/>
                <w:color w:val="auto"/>
                <w:w w:val="93"/>
              </w:rPr>
              <w:t>September 30,</w:t>
            </w:r>
          </w:p>
        </w:tc>
        <w:tc>
          <w:tcPr>
            <w:tcW w:w="3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80" w:type="dxa"/>
            <w:vAlign w:val="bottom"/>
            <w:tcBorders>
              <w:bottom w:val="single" w:sz="8" w:color="auto"/>
            </w:tcBorders>
          </w:tcPr>
          <w:p>
            <w:pPr>
              <w:spacing w:after="0"/>
              <w:rPr>
                <w:sz w:val="16"/>
                <w:szCs w:val="16"/>
                <w:color w:val="auto"/>
              </w:rPr>
            </w:pPr>
          </w:p>
        </w:tc>
      </w:tr>
      <w:tr>
        <w:trPr>
          <w:trHeight w:val="183"/>
        </w:trPr>
        <w:tc>
          <w:tcPr>
            <w:tcW w:w="6160" w:type="dxa"/>
            <w:vAlign w:val="bottom"/>
          </w:tcPr>
          <w:p>
            <w:pPr>
              <w:spacing w:after="0"/>
              <w:rPr>
                <w:sz w:val="15"/>
                <w:szCs w:val="15"/>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2020</w:t>
            </w:r>
          </w:p>
        </w:tc>
        <w:tc>
          <w:tcPr>
            <w:tcW w:w="38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3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362"/>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5"/>
                <w:szCs w:val="15"/>
                <w:color w:val="auto"/>
              </w:rPr>
            </w:pPr>
          </w:p>
        </w:tc>
        <w:tc>
          <w:tcPr>
            <w:tcW w:w="4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w w:val="96"/>
              </w:rPr>
              <w:t>2020</w:t>
            </w:r>
          </w:p>
        </w:tc>
      </w:tr>
      <w:tr>
        <w:trPr>
          <w:trHeight w:val="212"/>
        </w:trPr>
        <w:tc>
          <w:tcPr>
            <w:tcW w:w="6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millions)</w:t>
            </w: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22"/>
        </w:trPr>
        <w:tc>
          <w:tcPr>
            <w:tcW w:w="6160" w:type="dxa"/>
            <w:vAlign w:val="bottom"/>
          </w:tcPr>
          <w:p>
            <w:pPr>
              <w:spacing w:after="0"/>
              <w:rPr>
                <w:sz w:val="20"/>
                <w:szCs w:val="20"/>
                <w:color w:val="auto"/>
              </w:rPr>
            </w:pPr>
            <w:r>
              <w:rPr>
                <w:rFonts w:ascii="Arial" w:cs="Arial" w:eastAsia="Arial" w:hAnsi="Arial"/>
                <w:sz w:val="16"/>
                <w:szCs w:val="16"/>
                <w:color w:val="auto"/>
              </w:rPr>
              <w:t>Corporate and other expenses</w:t>
            </w:r>
          </w:p>
        </w:tc>
        <w:tc>
          <w:tcPr>
            <w:tcW w:w="760" w:type="dxa"/>
            <w:vAlign w:val="bottom"/>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Pr>
          <w:p>
            <w:pPr>
              <w:jc w:val="right"/>
              <w:spacing w:after="0"/>
              <w:rPr>
                <w:sz w:val="20"/>
                <w:szCs w:val="20"/>
                <w:color w:val="auto"/>
              </w:rPr>
            </w:pPr>
            <w:r>
              <w:rPr>
                <w:rFonts w:ascii="Arial" w:cs="Arial" w:eastAsia="Arial" w:hAnsi="Arial"/>
                <w:sz w:val="16"/>
                <w:szCs w:val="16"/>
                <w:color w:val="auto"/>
              </w:rPr>
              <w:t>27</w:t>
            </w:r>
          </w:p>
        </w:tc>
        <w:tc>
          <w:tcPr>
            <w:tcW w:w="100" w:type="dxa"/>
            <w:vAlign w:val="bottom"/>
          </w:tcPr>
          <w:p>
            <w:pPr>
              <w:spacing w:after="0"/>
              <w:rPr>
                <w:sz w:val="19"/>
                <w:szCs w:val="19"/>
                <w:color w:val="auto"/>
              </w:rPr>
            </w:pPr>
          </w:p>
        </w:tc>
        <w:tc>
          <w:tcPr>
            <w:tcW w:w="800" w:type="dxa"/>
            <w:vAlign w:val="bottom"/>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Pr>
          <w:p>
            <w:pPr>
              <w:jc w:val="right"/>
              <w:spacing w:after="0"/>
              <w:rPr>
                <w:sz w:val="20"/>
                <w:szCs w:val="20"/>
                <w:color w:val="auto"/>
              </w:rPr>
            </w:pPr>
            <w:r>
              <w:rPr>
                <w:rFonts w:ascii="Arial" w:cs="Arial" w:eastAsia="Arial" w:hAnsi="Arial"/>
                <w:sz w:val="16"/>
                <w:szCs w:val="16"/>
                <w:color w:val="auto"/>
              </w:rPr>
              <w:t>23</w:t>
            </w:r>
          </w:p>
        </w:tc>
        <w:tc>
          <w:tcPr>
            <w:tcW w:w="120" w:type="dxa"/>
            <w:vAlign w:val="bottom"/>
          </w:tcPr>
          <w:p>
            <w:pPr>
              <w:spacing w:after="0"/>
              <w:rPr>
                <w:sz w:val="19"/>
                <w:szCs w:val="19"/>
                <w:color w:val="auto"/>
              </w:rPr>
            </w:pPr>
          </w:p>
        </w:tc>
        <w:tc>
          <w:tcPr>
            <w:tcW w:w="380" w:type="dxa"/>
            <w:vAlign w:val="bottom"/>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93</w:t>
            </w:r>
          </w:p>
        </w:tc>
        <w:tc>
          <w:tcPr>
            <w:tcW w:w="120" w:type="dxa"/>
            <w:vAlign w:val="bottom"/>
          </w:tcPr>
          <w:p>
            <w:pPr>
              <w:spacing w:after="0"/>
              <w:rPr>
                <w:sz w:val="19"/>
                <w:szCs w:val="19"/>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88</w:t>
            </w:r>
          </w:p>
        </w:tc>
      </w:tr>
      <w:tr>
        <w:trPr>
          <w:trHeight w:val="216"/>
        </w:trPr>
        <w:tc>
          <w:tcPr>
            <w:tcW w:w="6160" w:type="dxa"/>
            <w:vAlign w:val="bottom"/>
          </w:tcPr>
          <w:p>
            <w:pPr>
              <w:spacing w:after="0"/>
              <w:rPr>
                <w:sz w:val="20"/>
                <w:szCs w:val="20"/>
                <w:color w:val="auto"/>
              </w:rPr>
            </w:pPr>
            <w:r>
              <w:rPr>
                <w:rFonts w:ascii="Arial" w:cs="Arial" w:eastAsia="Arial" w:hAnsi="Arial"/>
                <w:sz w:val="16"/>
                <w:szCs w:val="16"/>
                <w:color w:val="auto"/>
              </w:rPr>
              <w:t>Interest expense</w:t>
            </w:r>
          </w:p>
        </w:tc>
        <w:tc>
          <w:tcPr>
            <w:tcW w:w="7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97</w:t>
            </w:r>
          </w:p>
        </w:tc>
        <w:tc>
          <w:tcPr>
            <w:tcW w:w="100" w:type="dxa"/>
            <w:vAlign w:val="bottom"/>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95</w:t>
            </w:r>
          </w:p>
        </w:tc>
        <w:tc>
          <w:tcPr>
            <w:tcW w:w="1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286</w:t>
            </w:r>
          </w:p>
        </w:tc>
        <w:tc>
          <w:tcPr>
            <w:tcW w:w="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279</w:t>
            </w:r>
          </w:p>
        </w:tc>
      </w:tr>
      <w:tr>
        <w:trPr>
          <w:trHeight w:val="209"/>
        </w:trPr>
        <w:tc>
          <w:tcPr>
            <w:tcW w:w="6160" w:type="dxa"/>
            <w:vAlign w:val="bottom"/>
          </w:tcPr>
          <w:p>
            <w:pPr>
              <w:spacing w:after="0"/>
              <w:rPr>
                <w:sz w:val="20"/>
                <w:szCs w:val="20"/>
                <w:color w:val="auto"/>
              </w:rPr>
            </w:pPr>
            <w:r>
              <w:rPr>
                <w:rFonts w:ascii="Arial" w:cs="Arial" w:eastAsia="Arial" w:hAnsi="Arial"/>
                <w:sz w:val="16"/>
                <w:szCs w:val="16"/>
                <w:color w:val="auto"/>
              </w:rPr>
              <w:t>Corporate, Interest and Other expenses before income taxes</w:t>
            </w:r>
          </w:p>
        </w:tc>
        <w:tc>
          <w:tcPr>
            <w:tcW w:w="76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124</w:t>
            </w: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118</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379</w:t>
            </w: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367</w:t>
            </w:r>
          </w:p>
        </w:tc>
      </w:tr>
      <w:tr>
        <w:trPr>
          <w:trHeight w:val="216"/>
        </w:trPr>
        <w:tc>
          <w:tcPr>
            <w:tcW w:w="6160" w:type="dxa"/>
            <w:vAlign w:val="bottom"/>
          </w:tcPr>
          <w:p>
            <w:pPr>
              <w:ind w:left="200"/>
              <w:spacing w:after="0"/>
              <w:rPr>
                <w:sz w:val="20"/>
                <w:szCs w:val="20"/>
                <w:color w:val="auto"/>
              </w:rPr>
            </w:pPr>
            <w:r>
              <w:rPr>
                <w:rFonts w:ascii="Arial" w:cs="Arial" w:eastAsia="Arial" w:hAnsi="Arial"/>
                <w:sz w:val="16"/>
                <w:szCs w:val="16"/>
                <w:color w:val="auto"/>
              </w:rPr>
              <w:t>Provision (benefit) for income taxes</w:t>
            </w:r>
          </w:p>
        </w:tc>
        <w:tc>
          <w:tcPr>
            <w:tcW w:w="7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0" w:type="dxa"/>
            <w:vAlign w:val="bottom"/>
          </w:tcPr>
          <w:p>
            <w:pPr>
              <w:spacing w:after="0"/>
              <w:rPr>
                <w:sz w:val="18"/>
                <w:szCs w:val="18"/>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(2)</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(6)</w:t>
            </w:r>
          </w:p>
        </w:tc>
      </w:tr>
      <w:tr>
        <w:trPr>
          <w:trHeight w:val="209"/>
        </w:trPr>
        <w:tc>
          <w:tcPr>
            <w:tcW w:w="6160" w:type="dxa"/>
            <w:vAlign w:val="bottom"/>
          </w:tcPr>
          <w:p>
            <w:pPr>
              <w:spacing w:after="0"/>
              <w:rPr>
                <w:sz w:val="20"/>
                <w:szCs w:val="20"/>
                <w:color w:val="auto"/>
              </w:rPr>
            </w:pPr>
            <w:r>
              <w:rPr>
                <w:rFonts w:ascii="Arial" w:cs="Arial" w:eastAsia="Arial" w:hAnsi="Arial"/>
                <w:sz w:val="16"/>
                <w:szCs w:val="16"/>
                <w:b w:val="1"/>
                <w:bCs w:val="1"/>
                <w:color w:val="auto"/>
              </w:rPr>
              <w:t>Net Corporate, Interest and Other expenses after income taxes</w:t>
            </w:r>
          </w:p>
        </w:tc>
        <w:tc>
          <w:tcPr>
            <w:tcW w:w="760" w:type="dxa"/>
            <w:vAlign w:val="bottom"/>
            <w:tcBorders>
              <w:top w:val="single" w:sz="8" w:color="auto"/>
            </w:tcBorders>
          </w:tcPr>
          <w:p>
            <w:pPr>
              <w:spacing w:after="0"/>
              <w:rPr>
                <w:sz w:val="18"/>
                <w:szCs w:val="18"/>
                <w:color w:val="auto"/>
              </w:rPr>
            </w:pP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124</w:t>
            </w:r>
          </w:p>
        </w:tc>
        <w:tc>
          <w:tcPr>
            <w:tcW w:w="100" w:type="dxa"/>
            <w:vAlign w:val="bottom"/>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116</w:t>
            </w:r>
          </w:p>
        </w:tc>
        <w:tc>
          <w:tcPr>
            <w:tcW w:w="12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379</w:t>
            </w:r>
          </w:p>
        </w:tc>
        <w:tc>
          <w:tcPr>
            <w:tcW w:w="1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361</w:t>
            </w:r>
          </w:p>
        </w:tc>
      </w:tr>
      <w:tr>
        <w:trPr>
          <w:trHeight w:val="219"/>
        </w:trPr>
        <w:tc>
          <w:tcPr>
            <w:tcW w:w="6160" w:type="dxa"/>
            <w:vAlign w:val="bottom"/>
          </w:tcPr>
          <w:p>
            <w:pPr>
              <w:ind w:left="200"/>
              <w:spacing w:after="0"/>
              <w:rPr>
                <w:sz w:val="20"/>
                <w:szCs w:val="20"/>
                <w:color w:val="auto"/>
              </w:rPr>
            </w:pPr>
            <w:r>
              <w:rPr>
                <w:rFonts w:ascii="Arial" w:cs="Arial" w:eastAsia="Arial" w:hAnsi="Arial"/>
                <w:sz w:val="16"/>
                <w:szCs w:val="16"/>
                <w:color w:val="auto"/>
              </w:rPr>
              <w:t>Items affecting comparability of earnings between periods, after-tax</w:t>
            </w:r>
          </w:p>
        </w:tc>
        <w:tc>
          <w:tcPr>
            <w:tcW w:w="760" w:type="dxa"/>
            <w:vAlign w:val="bottom"/>
          </w:tcPr>
          <w:p>
            <w:pPr>
              <w:spacing w:after="0"/>
              <w:rPr>
                <w:sz w:val="19"/>
                <w:szCs w:val="19"/>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0" w:type="dxa"/>
            <w:vAlign w:val="bottom"/>
          </w:tcPr>
          <w:p>
            <w:pPr>
              <w:spacing w:after="0"/>
              <w:rPr>
                <w:sz w:val="19"/>
                <w:szCs w:val="19"/>
                <w:color w:val="auto"/>
              </w:rPr>
            </w:pPr>
          </w:p>
        </w:tc>
        <w:tc>
          <w:tcPr>
            <w:tcW w:w="380" w:type="dxa"/>
            <w:vAlign w:val="bottom"/>
          </w:tcPr>
          <w:p>
            <w:pPr>
              <w:jc w:val="right"/>
              <w:spacing w:after="0"/>
              <w:rPr>
                <w:sz w:val="20"/>
                <w:szCs w:val="20"/>
                <w:color w:val="auto"/>
              </w:rPr>
            </w:pPr>
            <w:r>
              <w:rPr>
                <w:rFonts w:ascii="Arial" w:cs="Arial" w:eastAsia="Arial" w:hAnsi="Arial"/>
                <w:sz w:val="16"/>
                <w:szCs w:val="16"/>
                <w:color w:val="auto"/>
              </w:rPr>
              <w:t>1</w:t>
            </w: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w:t>
            </w:r>
          </w:p>
        </w:tc>
      </w:tr>
      <w:tr>
        <w:trPr>
          <w:trHeight w:val="213"/>
        </w:trPr>
        <w:tc>
          <w:tcPr>
            <w:tcW w:w="6160" w:type="dxa"/>
            <w:vAlign w:val="bottom"/>
          </w:tcPr>
          <w:p>
            <w:pPr>
              <w:spacing w:after="0"/>
              <w:rPr>
                <w:sz w:val="20"/>
                <w:szCs w:val="20"/>
                <w:color w:val="auto"/>
              </w:rPr>
            </w:pPr>
            <w:r>
              <w:rPr>
                <w:rFonts w:ascii="Arial" w:cs="Arial" w:eastAsia="Arial" w:hAnsi="Arial"/>
                <w:sz w:val="16"/>
                <w:szCs w:val="16"/>
                <w:b w:val="1"/>
                <w:bCs w:val="1"/>
                <w:color w:val="auto"/>
              </w:rPr>
              <w:t>Total Corporate, Interest and Other Expenses after income taxes</w:t>
            </w:r>
          </w:p>
        </w:tc>
        <w:tc>
          <w:tcPr>
            <w:tcW w:w="760" w:type="dxa"/>
            <w:vAlign w:val="bottom"/>
            <w:tcBorders>
              <w:top w:val="single" w:sz="8" w:color="auto"/>
              <w:bottom w:val="single" w:sz="8" w:color="auto"/>
            </w:tcBorders>
          </w:tcPr>
          <w:p>
            <w:pPr>
              <w:jc w:val="right"/>
              <w:ind w:right="584"/>
              <w:spacing w:after="0"/>
              <w:rPr>
                <w:sz w:val="20"/>
                <w:szCs w:val="20"/>
                <w:color w:val="auto"/>
              </w:rPr>
            </w:pPr>
            <w:r>
              <w:rPr>
                <w:rFonts w:ascii="Arial" w:cs="Arial" w:eastAsia="Arial" w:hAnsi="Arial"/>
                <w:sz w:val="16"/>
                <w:szCs w:val="16"/>
                <w:color w:val="auto"/>
                <w:w w:val="89"/>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124</w:t>
            </w:r>
          </w:p>
        </w:tc>
        <w:tc>
          <w:tcPr>
            <w:tcW w:w="100" w:type="dxa"/>
            <w:vAlign w:val="bottom"/>
          </w:tcPr>
          <w:p>
            <w:pPr>
              <w:spacing w:after="0"/>
              <w:rPr>
                <w:sz w:val="18"/>
                <w:szCs w:val="18"/>
                <w:color w:val="auto"/>
              </w:rPr>
            </w:pPr>
          </w:p>
        </w:tc>
        <w:tc>
          <w:tcPr>
            <w:tcW w:w="800" w:type="dxa"/>
            <w:vAlign w:val="bottom"/>
            <w:tcBorders>
              <w:top w:val="single" w:sz="8" w:color="auto"/>
              <w:bottom w:val="single" w:sz="8" w:color="auto"/>
            </w:tcBorders>
          </w:tcPr>
          <w:p>
            <w:pPr>
              <w:jc w:val="right"/>
              <w:ind w:right="622"/>
              <w:spacing w:after="0"/>
              <w:rPr>
                <w:sz w:val="20"/>
                <w:szCs w:val="20"/>
                <w:color w:val="auto"/>
              </w:rPr>
            </w:pPr>
            <w:r>
              <w:rPr>
                <w:rFonts w:ascii="Arial" w:cs="Arial" w:eastAsia="Arial" w:hAnsi="Arial"/>
                <w:sz w:val="16"/>
                <w:szCs w:val="16"/>
                <w:color w:val="auto"/>
                <w:w w:val="89"/>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117</w:t>
            </w:r>
          </w:p>
        </w:tc>
        <w:tc>
          <w:tcPr>
            <w:tcW w:w="120" w:type="dxa"/>
            <w:vAlign w:val="bottom"/>
          </w:tcPr>
          <w:p>
            <w:pPr>
              <w:spacing w:after="0"/>
              <w:rPr>
                <w:sz w:val="18"/>
                <w:szCs w:val="18"/>
                <w:color w:val="auto"/>
              </w:rPr>
            </w:pPr>
          </w:p>
        </w:tc>
        <w:tc>
          <w:tcPr>
            <w:tcW w:w="380" w:type="dxa"/>
            <w:vAlign w:val="bottom"/>
            <w:tcBorders>
              <w:top w:val="single" w:sz="8" w:color="auto"/>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379</w:t>
            </w:r>
          </w:p>
        </w:tc>
        <w:tc>
          <w:tcPr>
            <w:tcW w:w="120" w:type="dxa"/>
            <w:vAlign w:val="bottom"/>
          </w:tcPr>
          <w:p>
            <w:pPr>
              <w:spacing w:after="0"/>
              <w:rPr>
                <w:sz w:val="18"/>
                <w:szCs w:val="18"/>
                <w:color w:val="auto"/>
              </w:rPr>
            </w:pPr>
          </w:p>
        </w:tc>
        <w:tc>
          <w:tcPr>
            <w:tcW w:w="400" w:type="dxa"/>
            <w:vAlign w:val="bottom"/>
            <w:tcBorders>
              <w:top w:val="single" w:sz="8" w:color="auto"/>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362</w:t>
            </w:r>
          </w:p>
        </w:tc>
      </w:tr>
      <w:tr>
        <w:trPr>
          <w:trHeight w:val="21"/>
        </w:trPr>
        <w:tc>
          <w:tcPr>
            <w:tcW w:w="6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18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Corporate and other expenses were comparable in the third quarter and first nine months of 2021, compared to the corresponding periods in 2020. Interest expense in the first nine months of 2021 was higher than the corresponding period in 2020 due to interest incurred on the $1 billion three year term loan entered into in March 2020.</w:t>
      </w:r>
    </w:p>
    <w:p>
      <w:pPr>
        <w:sectPr>
          <w:pgSz w:w="11900" w:h="16838" w:orient="portrait"/>
          <w:cols w:equalWidth="0" w:num="1">
            <w:col w:w="11240"/>
          </w:cols>
          <w:pgMar w:left="320" w:top="580" w:right="339" w:bottom="1440" w:gutter="0" w:footer="0" w:header="0"/>
        </w:sectPr>
      </w:pP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type w:val="continuous"/>
        </w:sectPr>
      </w:pPr>
    </w:p>
    <w:bookmarkStart w:id="28" w:name="page29"/>
    <w:bookmarkEnd w:id="28"/>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Consolidated Results of Operations (continued)</w:t>
      </w:r>
    </w:p>
    <w:p>
      <w:pPr>
        <w:spacing w:after="0" w:line="12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Fourth quarter 2021 corporate expenses are expected to be in the range of $30 million to $35 million, and interest expense is expected to be in the range of $90 million to $95 million.</w:t>
      </w:r>
    </w:p>
    <w:p>
      <w:pPr>
        <w:spacing w:after="0" w:line="10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 xml:space="preserve">Items Affecting Comparability of Earnings Between Periods: </w:t>
      </w:r>
      <w:r>
        <w:rPr>
          <w:rFonts w:ascii="Arial" w:cs="Arial" w:eastAsia="Arial" w:hAnsi="Arial"/>
          <w:sz w:val="18"/>
          <w:szCs w:val="18"/>
          <w:color w:val="auto"/>
        </w:rPr>
        <w:t>In the third quarter of 2020, Corporate expenses included a pre-tax charge of $1 million ($1</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million after income taxes) for employee termination benefits incurred related to cost reduction initiatives.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Items Potentially Affecting Future Results</w:t>
      </w:r>
    </w:p>
    <w:p>
      <w:pPr>
        <w:spacing w:after="0" w:line="117"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 xml:space="preserve">Our future results may be impacted by a variety of factors, including but not limited to, volatility in the selling prices of crude oil, NGLs and natural gas, reserve and production changes, asset sales, impairment charges and exploration expenses, industry cost inflation and/or deflation, changes in foreign exchange rates and income tax rates, changes in deferred tax asset valuation allowances, the effects of weather, crude oil storage capacity, political risk, environmental risk and catastrophic risk, including risks associated with COVID-19. For a more comprehensive description of the risks that may affect our business, see </w:t>
      </w:r>
      <w:r>
        <w:rPr>
          <w:rFonts w:ascii="Arial" w:cs="Arial" w:eastAsia="Arial" w:hAnsi="Arial"/>
          <w:sz w:val="17"/>
          <w:szCs w:val="17"/>
          <w:i w:val="1"/>
          <w:iCs w:val="1"/>
          <w:color w:val="auto"/>
        </w:rPr>
        <w:t>Item 1A. Risk Factors</w:t>
      </w:r>
      <w:r>
        <w:rPr>
          <w:rFonts w:ascii="Arial" w:cs="Arial" w:eastAsia="Arial" w:hAnsi="Arial"/>
          <w:sz w:val="17"/>
          <w:szCs w:val="17"/>
          <w:color w:val="auto"/>
        </w:rPr>
        <w:t xml:space="preserve"> in our Annual Report on Form 10-K for the year ended December 31, 2020.</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Liquidity and Capital Resources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certain relevant measures of our liquidity and capital resources:</w:t>
      </w:r>
    </w:p>
    <w:p>
      <w:pPr>
        <w:spacing w:after="0" w:line="119"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85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60" w:type="dxa"/>
            <w:vAlign w:val="bottom"/>
            <w:gridSpan w:val="2"/>
          </w:tcPr>
          <w:p>
            <w:pPr>
              <w:ind w:left="40"/>
              <w:spacing w:after="0"/>
              <w:rPr>
                <w:sz w:val="20"/>
                <w:szCs w:val="20"/>
                <w:color w:val="auto"/>
              </w:rPr>
            </w:pPr>
            <w:r>
              <w:rPr>
                <w:rFonts w:ascii="Arial" w:cs="Arial" w:eastAsia="Arial" w:hAnsi="Arial"/>
                <w:sz w:val="14"/>
                <w:szCs w:val="14"/>
                <w:b w:val="1"/>
                <w:bCs w:val="1"/>
                <w:color w:val="auto"/>
              </w:rPr>
              <w:t>September 30,</w:t>
            </w:r>
          </w:p>
        </w:tc>
        <w:tc>
          <w:tcPr>
            <w:tcW w:w="160" w:type="dxa"/>
            <w:vAlign w:val="bottom"/>
          </w:tcPr>
          <w:p>
            <w:pPr>
              <w:spacing w:after="0"/>
              <w:rPr>
                <w:sz w:val="14"/>
                <w:szCs w:val="14"/>
                <w:color w:val="auto"/>
              </w:rPr>
            </w:pPr>
          </w:p>
        </w:tc>
        <w:tc>
          <w:tcPr>
            <w:tcW w:w="1140" w:type="dxa"/>
            <w:vAlign w:val="bottom"/>
          </w:tcPr>
          <w:p>
            <w:pPr>
              <w:jc w:val="right"/>
              <w:ind w:right="162"/>
              <w:spacing w:after="0"/>
              <w:rPr>
                <w:sz w:val="20"/>
                <w:szCs w:val="20"/>
                <w:color w:val="auto"/>
              </w:rPr>
            </w:pPr>
            <w:r>
              <w:rPr>
                <w:rFonts w:ascii="Arial" w:cs="Arial" w:eastAsia="Arial" w:hAnsi="Arial"/>
                <w:sz w:val="14"/>
                <w:szCs w:val="14"/>
                <w:b w:val="1"/>
                <w:bCs w:val="1"/>
                <w:color w:val="auto"/>
                <w:w w:val="96"/>
              </w:rPr>
              <w:t>December 31,</w:t>
            </w:r>
          </w:p>
        </w:tc>
      </w:tr>
      <w:tr>
        <w:trPr>
          <w:trHeight w:val="188"/>
        </w:trPr>
        <w:tc>
          <w:tcPr>
            <w:tcW w:w="85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22"/>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42"/>
              <w:spacing w:after="0"/>
              <w:rPr>
                <w:sz w:val="20"/>
                <w:szCs w:val="20"/>
                <w:color w:val="auto"/>
              </w:rPr>
            </w:pPr>
            <w:r>
              <w:rPr>
                <w:rFonts w:ascii="Arial" w:cs="Arial" w:eastAsia="Arial" w:hAnsi="Arial"/>
                <w:sz w:val="14"/>
                <w:szCs w:val="14"/>
                <w:b w:val="1"/>
                <w:bCs w:val="1"/>
                <w:color w:val="auto"/>
              </w:rPr>
              <w:t>2020</w:t>
            </w:r>
          </w:p>
        </w:tc>
      </w:tr>
      <w:tr>
        <w:trPr>
          <w:trHeight w:val="212"/>
        </w:trPr>
        <w:tc>
          <w:tcPr>
            <w:tcW w:w="8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560" w:type="dxa"/>
            <w:vAlign w:val="bottom"/>
            <w:gridSpan w:val="4"/>
          </w:tcPr>
          <w:p>
            <w:pPr>
              <w:jc w:val="right"/>
              <w:ind w:right="502"/>
              <w:spacing w:after="0"/>
              <w:rPr>
                <w:sz w:val="20"/>
                <w:szCs w:val="20"/>
                <w:color w:val="auto"/>
              </w:rPr>
            </w:pPr>
            <w:r>
              <w:rPr>
                <w:rFonts w:ascii="Arial" w:cs="Arial" w:eastAsia="Arial" w:hAnsi="Arial"/>
                <w:sz w:val="14"/>
                <w:szCs w:val="14"/>
                <w:b w:val="1"/>
                <w:bCs w:val="1"/>
                <w:color w:val="auto"/>
              </w:rPr>
              <w:t>(In millions, except ratio)</w:t>
            </w:r>
          </w:p>
        </w:tc>
      </w:tr>
      <w:tr>
        <w:trPr>
          <w:trHeight w:val="222"/>
        </w:trPr>
        <w:tc>
          <w:tcPr>
            <w:tcW w:w="8500" w:type="dxa"/>
            <w:vAlign w:val="bottom"/>
          </w:tcPr>
          <w:p>
            <w:pPr>
              <w:spacing w:after="0"/>
              <w:rPr>
                <w:sz w:val="20"/>
                <w:szCs w:val="20"/>
                <w:color w:val="auto"/>
              </w:rPr>
            </w:pPr>
            <w:r>
              <w:rPr>
                <w:rFonts w:ascii="Arial" w:cs="Arial" w:eastAsia="Arial" w:hAnsi="Arial"/>
                <w:sz w:val="16"/>
                <w:szCs w:val="16"/>
                <w:color w:val="auto"/>
              </w:rPr>
              <w:t>Cash and cash equivalents (a)</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122"/>
              <w:spacing w:after="0"/>
              <w:rPr>
                <w:sz w:val="20"/>
                <w:szCs w:val="20"/>
                <w:color w:val="auto"/>
              </w:rPr>
            </w:pPr>
            <w:r>
              <w:rPr>
                <w:rFonts w:ascii="Arial" w:cs="Arial" w:eastAsia="Arial" w:hAnsi="Arial"/>
                <w:sz w:val="16"/>
                <w:szCs w:val="16"/>
                <w:color w:val="auto"/>
              </w:rPr>
              <w:t>2,419</w:t>
            </w:r>
          </w:p>
        </w:tc>
        <w:tc>
          <w:tcPr>
            <w:tcW w:w="120" w:type="dxa"/>
            <w:vAlign w:val="bottom"/>
          </w:tcPr>
          <w:p>
            <w:pPr>
              <w:spacing w:after="0"/>
              <w:rPr>
                <w:sz w:val="19"/>
                <w:szCs w:val="19"/>
                <w:color w:val="auto"/>
              </w:rPr>
            </w:pPr>
          </w:p>
        </w:tc>
        <w:tc>
          <w:tcPr>
            <w:tcW w:w="160" w:type="dxa"/>
            <w:vAlign w:val="bottom"/>
          </w:tcPr>
          <w:p>
            <w:pPr>
              <w:jc w:val="right"/>
              <w:ind w:right="4"/>
              <w:spacing w:after="0"/>
              <w:rPr>
                <w:sz w:val="20"/>
                <w:szCs w:val="20"/>
                <w:color w:val="auto"/>
              </w:rPr>
            </w:pPr>
            <w:r>
              <w:rPr>
                <w:rFonts w:ascii="Arial" w:cs="Arial" w:eastAsia="Arial" w:hAnsi="Arial"/>
                <w:sz w:val="15"/>
                <w:szCs w:val="15"/>
                <w:color w:val="auto"/>
                <w:w w:val="71"/>
              </w:rPr>
              <w:t>$</w:t>
            </w:r>
          </w:p>
        </w:tc>
        <w:tc>
          <w:tcPr>
            <w:tcW w:w="1140" w:type="dxa"/>
            <w:vAlign w:val="bottom"/>
          </w:tcPr>
          <w:p>
            <w:pPr>
              <w:jc w:val="right"/>
              <w:ind w:right="122"/>
              <w:spacing w:after="0"/>
              <w:rPr>
                <w:sz w:val="20"/>
                <w:szCs w:val="20"/>
                <w:color w:val="auto"/>
              </w:rPr>
            </w:pPr>
            <w:r>
              <w:rPr>
                <w:rFonts w:ascii="Arial" w:cs="Arial" w:eastAsia="Arial" w:hAnsi="Arial"/>
                <w:sz w:val="16"/>
                <w:szCs w:val="16"/>
                <w:color w:val="auto"/>
              </w:rPr>
              <w:t>1,739</w:t>
            </w:r>
          </w:p>
        </w:tc>
      </w:tr>
      <w:tr>
        <w:trPr>
          <w:trHeight w:val="216"/>
        </w:trPr>
        <w:tc>
          <w:tcPr>
            <w:tcW w:w="8500" w:type="dxa"/>
            <w:vAlign w:val="bottom"/>
          </w:tcPr>
          <w:p>
            <w:pPr>
              <w:spacing w:after="0"/>
              <w:rPr>
                <w:sz w:val="20"/>
                <w:szCs w:val="20"/>
                <w:color w:val="auto"/>
              </w:rPr>
            </w:pPr>
            <w:r>
              <w:rPr>
                <w:rFonts w:ascii="Arial" w:cs="Arial" w:eastAsia="Arial" w:hAnsi="Arial"/>
                <w:sz w:val="16"/>
                <w:szCs w:val="16"/>
                <w:color w:val="auto"/>
              </w:rPr>
              <w:t>Current portion of long-term debt (b)</w:t>
            </w:r>
          </w:p>
        </w:tc>
        <w:tc>
          <w:tcPr>
            <w:tcW w:w="160" w:type="dxa"/>
            <w:vAlign w:val="bottom"/>
          </w:tcPr>
          <w:p>
            <w:pPr>
              <w:spacing w:after="0"/>
              <w:rPr>
                <w:sz w:val="18"/>
                <w:szCs w:val="18"/>
                <w:color w:val="auto"/>
              </w:rPr>
            </w:pPr>
          </w:p>
        </w:tc>
        <w:tc>
          <w:tcPr>
            <w:tcW w:w="1140" w:type="dxa"/>
            <w:vAlign w:val="bottom"/>
          </w:tcPr>
          <w:p>
            <w:pPr>
              <w:jc w:val="right"/>
              <w:ind w:right="122"/>
              <w:spacing w:after="0"/>
              <w:rPr>
                <w:sz w:val="20"/>
                <w:szCs w:val="20"/>
                <w:color w:val="auto"/>
              </w:rPr>
            </w:pPr>
            <w:r>
              <w:rPr>
                <w:rFonts w:ascii="Arial" w:cs="Arial" w:eastAsia="Arial" w:hAnsi="Arial"/>
                <w:sz w:val="16"/>
                <w:szCs w:val="16"/>
                <w:color w:val="auto"/>
              </w:rPr>
              <w:t>514</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jc w:val="right"/>
              <w:ind w:right="122"/>
              <w:spacing w:after="0"/>
              <w:rPr>
                <w:sz w:val="20"/>
                <w:szCs w:val="20"/>
                <w:color w:val="auto"/>
              </w:rPr>
            </w:pPr>
            <w:r>
              <w:rPr>
                <w:rFonts w:ascii="Arial" w:cs="Arial" w:eastAsia="Arial" w:hAnsi="Arial"/>
                <w:sz w:val="16"/>
                <w:szCs w:val="16"/>
                <w:color w:val="auto"/>
              </w:rPr>
              <w:t>10</w:t>
            </w:r>
          </w:p>
        </w:tc>
      </w:tr>
      <w:tr>
        <w:trPr>
          <w:trHeight w:val="216"/>
        </w:trPr>
        <w:tc>
          <w:tcPr>
            <w:tcW w:w="8500" w:type="dxa"/>
            <w:vAlign w:val="bottom"/>
          </w:tcPr>
          <w:p>
            <w:pPr>
              <w:spacing w:after="0"/>
              <w:rPr>
                <w:sz w:val="20"/>
                <w:szCs w:val="20"/>
                <w:color w:val="auto"/>
              </w:rPr>
            </w:pPr>
            <w:r>
              <w:rPr>
                <w:rFonts w:ascii="Arial" w:cs="Arial" w:eastAsia="Arial" w:hAnsi="Arial"/>
                <w:sz w:val="16"/>
                <w:szCs w:val="16"/>
                <w:color w:val="auto"/>
              </w:rPr>
              <w:t>Total debt (c)</w:t>
            </w:r>
          </w:p>
        </w:tc>
        <w:tc>
          <w:tcPr>
            <w:tcW w:w="160" w:type="dxa"/>
            <w:vAlign w:val="bottom"/>
          </w:tcPr>
          <w:p>
            <w:pPr>
              <w:spacing w:after="0"/>
              <w:rPr>
                <w:sz w:val="18"/>
                <w:szCs w:val="18"/>
                <w:color w:val="auto"/>
              </w:rPr>
            </w:pPr>
          </w:p>
        </w:tc>
        <w:tc>
          <w:tcPr>
            <w:tcW w:w="1140" w:type="dxa"/>
            <w:vAlign w:val="bottom"/>
          </w:tcPr>
          <w:p>
            <w:pPr>
              <w:jc w:val="right"/>
              <w:ind w:right="122"/>
              <w:spacing w:after="0"/>
              <w:rPr>
                <w:sz w:val="20"/>
                <w:szCs w:val="20"/>
                <w:color w:val="auto"/>
              </w:rPr>
            </w:pPr>
            <w:r>
              <w:rPr>
                <w:rFonts w:ascii="Arial" w:cs="Arial" w:eastAsia="Arial" w:hAnsi="Arial"/>
                <w:sz w:val="16"/>
                <w:szCs w:val="16"/>
                <w:color w:val="auto"/>
              </w:rPr>
              <w:t>8,507</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jc w:val="right"/>
              <w:ind w:right="122"/>
              <w:spacing w:after="0"/>
              <w:rPr>
                <w:sz w:val="20"/>
                <w:szCs w:val="20"/>
                <w:color w:val="auto"/>
              </w:rPr>
            </w:pPr>
            <w:r>
              <w:rPr>
                <w:rFonts w:ascii="Arial" w:cs="Arial" w:eastAsia="Arial" w:hAnsi="Arial"/>
                <w:sz w:val="16"/>
                <w:szCs w:val="16"/>
                <w:color w:val="auto"/>
              </w:rPr>
              <w:t>8,296</w:t>
            </w:r>
          </w:p>
        </w:tc>
      </w:tr>
      <w:tr>
        <w:trPr>
          <w:trHeight w:val="216"/>
        </w:trPr>
        <w:tc>
          <w:tcPr>
            <w:tcW w:w="8500" w:type="dxa"/>
            <w:vAlign w:val="bottom"/>
          </w:tcPr>
          <w:p>
            <w:pPr>
              <w:spacing w:after="0"/>
              <w:rPr>
                <w:sz w:val="20"/>
                <w:szCs w:val="20"/>
                <w:color w:val="auto"/>
              </w:rPr>
            </w:pPr>
            <w:r>
              <w:rPr>
                <w:rFonts w:ascii="Arial" w:cs="Arial" w:eastAsia="Arial" w:hAnsi="Arial"/>
                <w:sz w:val="16"/>
                <w:szCs w:val="16"/>
                <w:color w:val="auto"/>
              </w:rPr>
              <w:t>Total equity</w:t>
            </w:r>
          </w:p>
        </w:tc>
        <w:tc>
          <w:tcPr>
            <w:tcW w:w="160" w:type="dxa"/>
            <w:vAlign w:val="bottom"/>
          </w:tcPr>
          <w:p>
            <w:pPr>
              <w:spacing w:after="0"/>
              <w:rPr>
                <w:sz w:val="18"/>
                <w:szCs w:val="18"/>
                <w:color w:val="auto"/>
              </w:rPr>
            </w:pPr>
          </w:p>
        </w:tc>
        <w:tc>
          <w:tcPr>
            <w:tcW w:w="1140" w:type="dxa"/>
            <w:vAlign w:val="bottom"/>
          </w:tcPr>
          <w:p>
            <w:pPr>
              <w:jc w:val="right"/>
              <w:ind w:right="122"/>
              <w:spacing w:after="0"/>
              <w:rPr>
                <w:sz w:val="20"/>
                <w:szCs w:val="20"/>
                <w:color w:val="auto"/>
              </w:rPr>
            </w:pPr>
            <w:r>
              <w:rPr>
                <w:rFonts w:ascii="Arial" w:cs="Arial" w:eastAsia="Arial" w:hAnsi="Arial"/>
                <w:sz w:val="16"/>
                <w:szCs w:val="16"/>
                <w:color w:val="auto"/>
              </w:rPr>
              <w:t>6,256</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jc w:val="right"/>
              <w:ind w:right="122"/>
              <w:spacing w:after="0"/>
              <w:rPr>
                <w:sz w:val="20"/>
                <w:szCs w:val="20"/>
                <w:color w:val="auto"/>
              </w:rPr>
            </w:pPr>
            <w:r>
              <w:rPr>
                <w:rFonts w:ascii="Arial" w:cs="Arial" w:eastAsia="Arial" w:hAnsi="Arial"/>
                <w:sz w:val="16"/>
                <w:szCs w:val="16"/>
                <w:color w:val="auto"/>
              </w:rPr>
              <w:t>6,335</w:t>
            </w:r>
          </w:p>
        </w:tc>
      </w:tr>
      <w:tr>
        <w:trPr>
          <w:trHeight w:val="216"/>
        </w:trPr>
        <w:tc>
          <w:tcPr>
            <w:tcW w:w="8500" w:type="dxa"/>
            <w:vAlign w:val="bottom"/>
          </w:tcPr>
          <w:p>
            <w:pPr>
              <w:spacing w:after="0"/>
              <w:rPr>
                <w:sz w:val="20"/>
                <w:szCs w:val="20"/>
                <w:color w:val="auto"/>
              </w:rPr>
            </w:pPr>
            <w:r>
              <w:rPr>
                <w:rFonts w:ascii="Arial" w:cs="Arial" w:eastAsia="Arial" w:hAnsi="Arial"/>
                <w:sz w:val="16"/>
                <w:szCs w:val="16"/>
                <w:color w:val="auto"/>
              </w:rPr>
              <w:t>Debt to capitalization ratio (d)</w:t>
            </w:r>
          </w:p>
        </w:tc>
        <w:tc>
          <w:tcPr>
            <w:tcW w:w="1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44.5 %</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47.5 %</w:t>
            </w:r>
          </w:p>
        </w:tc>
      </w:tr>
    </w:tbl>
    <w:p>
      <w:pPr>
        <w:spacing w:after="0" w:line="68" w:lineRule="exact"/>
        <w:rPr>
          <w:sz w:val="20"/>
          <w:szCs w:val="20"/>
          <w:color w:val="auto"/>
        </w:rPr>
      </w:pPr>
    </w:p>
    <w:p>
      <w:pPr>
        <w:ind w:left="320" w:hanging="231"/>
        <w:spacing w:after="0"/>
        <w:tabs>
          <w:tab w:leader="none" w:pos="320" w:val="left"/>
        </w:tabs>
        <w:numPr>
          <w:ilvl w:val="0"/>
          <w:numId w:val="12"/>
        </w:numPr>
        <w:rPr>
          <w:rFonts w:ascii="Arial" w:cs="Arial" w:eastAsia="Arial" w:hAnsi="Arial"/>
          <w:sz w:val="14"/>
          <w:szCs w:val="14"/>
          <w:i w:val="1"/>
          <w:iCs w:val="1"/>
          <w:color w:val="auto"/>
        </w:rPr>
      </w:pPr>
      <w:r>
        <w:rPr>
          <w:rFonts w:ascii="Arial" w:cs="Arial" w:eastAsia="Arial" w:hAnsi="Arial"/>
          <w:sz w:val="14"/>
          <w:szCs w:val="14"/>
          <w:i w:val="1"/>
          <w:iCs w:val="1"/>
          <w:color w:val="auto"/>
        </w:rPr>
        <w:t>Includes $5 million of cash attributable to our Midstream segment at September 30, 2021 (December 31, 2020: $4 million) of which, $3 million is held by Hess Midstream LP at</w:t>
      </w:r>
    </w:p>
    <w:p>
      <w:pPr>
        <w:spacing w:after="0" w:line="13" w:lineRule="exact"/>
        <w:rPr>
          <w:rFonts w:ascii="Arial" w:cs="Arial" w:eastAsia="Arial" w:hAnsi="Arial"/>
          <w:sz w:val="14"/>
          <w:szCs w:val="14"/>
          <w:i w:val="1"/>
          <w:iCs w:val="1"/>
          <w:color w:val="auto"/>
        </w:rPr>
      </w:pPr>
    </w:p>
    <w:p>
      <w:pPr>
        <w:ind w:left="340"/>
        <w:spacing w:after="0"/>
        <w:rPr>
          <w:rFonts w:ascii="Arial" w:cs="Arial" w:eastAsia="Arial" w:hAnsi="Arial"/>
          <w:sz w:val="14"/>
          <w:szCs w:val="14"/>
          <w:i w:val="1"/>
          <w:iCs w:val="1"/>
          <w:color w:val="auto"/>
        </w:rPr>
      </w:pPr>
      <w:r>
        <w:rPr>
          <w:rFonts w:ascii="Arial" w:cs="Arial" w:eastAsia="Arial" w:hAnsi="Arial"/>
          <w:sz w:val="14"/>
          <w:szCs w:val="14"/>
          <w:i w:val="1"/>
          <w:iCs w:val="1"/>
          <w:color w:val="auto"/>
        </w:rPr>
        <w:t>September 30, 2021 (December 31, 2020: $3 million).</w:t>
      </w:r>
    </w:p>
    <w:p>
      <w:pPr>
        <w:spacing w:after="0" w:line="1" w:lineRule="exact"/>
        <w:rPr>
          <w:rFonts w:ascii="Arial" w:cs="Arial" w:eastAsia="Arial" w:hAnsi="Arial"/>
          <w:sz w:val="14"/>
          <w:szCs w:val="14"/>
          <w:i w:val="1"/>
          <w:iCs w:val="1"/>
          <w:color w:val="auto"/>
        </w:rPr>
      </w:pPr>
    </w:p>
    <w:p>
      <w:pPr>
        <w:ind w:left="320" w:hanging="231"/>
        <w:spacing w:after="0"/>
        <w:tabs>
          <w:tab w:leader="none" w:pos="320" w:val="left"/>
        </w:tabs>
        <w:numPr>
          <w:ilvl w:val="0"/>
          <w:numId w:val="12"/>
        </w:numPr>
        <w:rPr>
          <w:rFonts w:ascii="Arial" w:cs="Arial" w:eastAsia="Arial" w:hAnsi="Arial"/>
          <w:sz w:val="14"/>
          <w:szCs w:val="14"/>
          <w:i w:val="1"/>
          <w:iCs w:val="1"/>
          <w:color w:val="auto"/>
        </w:rPr>
      </w:pPr>
      <w:r>
        <w:rPr>
          <w:rFonts w:ascii="Arial" w:cs="Arial" w:eastAsia="Arial" w:hAnsi="Arial"/>
          <w:sz w:val="14"/>
          <w:szCs w:val="14"/>
          <w:i w:val="1"/>
          <w:iCs w:val="1"/>
          <w:color w:val="auto"/>
        </w:rPr>
        <w:t>Includes the remaining $500 million outstanding under our $1 billion term loan maturing in March 2023 that we intend to repay in the next twelve months.</w:t>
      </w:r>
    </w:p>
    <w:p>
      <w:pPr>
        <w:spacing w:after="0" w:line="1" w:lineRule="exact"/>
        <w:rPr>
          <w:rFonts w:ascii="Arial" w:cs="Arial" w:eastAsia="Arial" w:hAnsi="Arial"/>
          <w:sz w:val="14"/>
          <w:szCs w:val="14"/>
          <w:i w:val="1"/>
          <w:iCs w:val="1"/>
          <w:color w:val="auto"/>
        </w:rPr>
      </w:pPr>
    </w:p>
    <w:p>
      <w:pPr>
        <w:ind w:left="320" w:hanging="231"/>
        <w:spacing w:after="0" w:line="221" w:lineRule="auto"/>
        <w:tabs>
          <w:tab w:leader="none" w:pos="320" w:val="left"/>
        </w:tabs>
        <w:numPr>
          <w:ilvl w:val="0"/>
          <w:numId w:val="12"/>
        </w:numPr>
        <w:rPr>
          <w:rFonts w:ascii="Arial" w:cs="Arial" w:eastAsia="Arial" w:hAnsi="Arial"/>
          <w:sz w:val="14"/>
          <w:szCs w:val="14"/>
          <w:i w:val="1"/>
          <w:iCs w:val="1"/>
          <w:color w:val="auto"/>
        </w:rPr>
      </w:pPr>
      <w:r>
        <w:rPr>
          <w:rFonts w:ascii="Arial" w:cs="Arial" w:eastAsia="Arial" w:hAnsi="Arial"/>
          <w:sz w:val="14"/>
          <w:szCs w:val="14"/>
          <w:i w:val="1"/>
          <w:iCs w:val="1"/>
          <w:color w:val="auto"/>
        </w:rPr>
        <w:t>At September 30, 2021, includes $2,613 million of debt outstanding from our Midstream segment (December 31, 2020: $1,910 million) that is non-recourse to Hess Corporation.</w:t>
      </w:r>
    </w:p>
    <w:p>
      <w:pPr>
        <w:jc w:val="both"/>
        <w:ind w:left="340" w:right="20" w:hanging="251"/>
        <w:spacing w:after="0" w:line="293" w:lineRule="auto"/>
        <w:tabs>
          <w:tab w:leader="none" w:pos="332" w:val="left"/>
        </w:tabs>
        <w:numPr>
          <w:ilvl w:val="0"/>
          <w:numId w:val="12"/>
        </w:numPr>
        <w:rPr>
          <w:rFonts w:ascii="Arial" w:cs="Arial" w:eastAsia="Arial" w:hAnsi="Arial"/>
          <w:sz w:val="13"/>
          <w:szCs w:val="13"/>
          <w:i w:val="1"/>
          <w:iCs w:val="1"/>
          <w:color w:val="auto"/>
        </w:rPr>
      </w:pPr>
      <w:r>
        <w:rPr>
          <w:rFonts w:ascii="Arial" w:cs="Arial" w:eastAsia="Arial" w:hAnsi="Arial"/>
          <w:sz w:val="13"/>
          <w:szCs w:val="13"/>
          <w:i w:val="1"/>
          <w:iCs w:val="1"/>
          <w:color w:val="auto"/>
        </w:rPr>
        <w:t>Total Consolidated Debt of Hess Corporation (including finance leases and excluding Midstream non-recourse debt) as a percentage of Total Capitalization of Hess Corporation as defined under Hess Corporation's term loan and revolving credit facility financial covenants. Total Capitalization excludes the impact of noncash impairment charges and non-controlling interests.</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our cash flows:</w:t>
      </w:r>
    </w:p>
    <w:p>
      <w:pPr>
        <w:spacing w:after="0" w:line="126" w:lineRule="exact"/>
        <w:rPr>
          <w:sz w:val="20"/>
          <w:szCs w:val="20"/>
          <w:color w:val="auto"/>
        </w:rPr>
      </w:pPr>
    </w:p>
    <w:p>
      <w:pPr>
        <w:jc w:val="center"/>
        <w:ind w:left="8740"/>
        <w:spacing w:after="0"/>
        <w:rPr>
          <w:sz w:val="20"/>
          <w:szCs w:val="20"/>
          <w:color w:val="auto"/>
        </w:rPr>
      </w:pPr>
      <w:r>
        <w:rPr>
          <w:rFonts w:ascii="Arial" w:cs="Arial" w:eastAsia="Arial" w:hAnsi="Arial"/>
          <w:sz w:val="14"/>
          <w:szCs w:val="14"/>
          <w:b w:val="1"/>
          <w:bCs w:val="1"/>
          <w:color w:val="auto"/>
        </w:rPr>
        <w:t>Nine Months Ended</w:t>
      </w:r>
    </w:p>
    <w:p>
      <w:pPr>
        <w:jc w:val="center"/>
        <w:ind w:left="8740"/>
        <w:spacing w:after="0"/>
        <w:rPr>
          <w:sz w:val="20"/>
          <w:szCs w:val="20"/>
          <w:color w:val="auto"/>
        </w:rPr>
      </w:pPr>
      <w:r>
        <w:rPr>
          <w:rFonts w:ascii="Arial" w:cs="Arial" w:eastAsia="Arial" w:hAnsi="Arial"/>
          <w:sz w:val="14"/>
          <w:szCs w:val="14"/>
          <w:b w:val="1"/>
          <w:bCs w:val="1"/>
          <w:color w:val="auto"/>
        </w:rPr>
        <w:t>September 30,</w:t>
      </w:r>
    </w:p>
    <w:p>
      <w:pPr>
        <w:spacing w:after="0" w:line="9" w:lineRule="exact"/>
        <w:rPr>
          <w:sz w:val="20"/>
          <w:szCs w:val="20"/>
          <w:color w:val="auto"/>
        </w:rPr>
      </w:pPr>
    </w:p>
    <w:tbl>
      <w:tblPr>
        <w:tblLayout w:type="fixed"/>
        <w:tblInd w:w="20" w:type="dxa"/>
        <w:tblCellMar>
          <w:top w:w="0" w:type="dxa"/>
          <w:left w:w="0" w:type="dxa"/>
          <w:bottom w:w="0" w:type="dxa"/>
          <w:right w:w="0" w:type="dxa"/>
        </w:tblCellMar>
      </w:tblPr>
      <w:tr>
        <w:trPr>
          <w:trHeight w:val="193"/>
        </w:trPr>
        <w:tc>
          <w:tcPr>
            <w:tcW w:w="8740" w:type="dxa"/>
            <w:vAlign w:val="bottom"/>
          </w:tcPr>
          <w:p>
            <w:pPr>
              <w:spacing w:after="0"/>
              <w:rPr>
                <w:sz w:val="16"/>
                <w:szCs w:val="16"/>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44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380" w:type="dxa"/>
            <w:vAlign w:val="bottom"/>
            <w:tcBorders>
              <w:top w:val="single" w:sz="8" w:color="auto"/>
              <w:bottom w:val="single" w:sz="8" w:color="auto"/>
            </w:tcBorders>
          </w:tcPr>
          <w:p>
            <w:pPr>
              <w:spacing w:after="0"/>
              <w:rPr>
                <w:sz w:val="16"/>
                <w:szCs w:val="16"/>
                <w:color w:val="auto"/>
              </w:rPr>
            </w:pPr>
          </w:p>
        </w:tc>
        <w:tc>
          <w:tcPr>
            <w:tcW w:w="800" w:type="dxa"/>
            <w:vAlign w:val="bottom"/>
            <w:tcBorders>
              <w:top w:val="single" w:sz="8" w:color="auto"/>
              <w:bottom w:val="single" w:sz="8" w:color="auto"/>
            </w:tcBorders>
          </w:tcPr>
          <w:p>
            <w:pPr>
              <w:jc w:val="right"/>
              <w:ind w:right="381"/>
              <w:spacing w:after="0"/>
              <w:rPr>
                <w:sz w:val="20"/>
                <w:szCs w:val="20"/>
                <w:color w:val="auto"/>
              </w:rPr>
            </w:pPr>
            <w:r>
              <w:rPr>
                <w:rFonts w:ascii="Arial" w:cs="Arial" w:eastAsia="Arial" w:hAnsi="Arial"/>
                <w:sz w:val="14"/>
                <w:szCs w:val="14"/>
                <w:b w:val="1"/>
                <w:bCs w:val="1"/>
                <w:color w:val="auto"/>
              </w:rPr>
              <w:t>2020</w:t>
            </w:r>
          </w:p>
        </w:tc>
      </w:tr>
      <w:tr>
        <w:trPr>
          <w:trHeight w:val="212"/>
        </w:trPr>
        <w:tc>
          <w:tcPr>
            <w:tcW w:w="87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4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millions)</w:t>
            </w:r>
          </w:p>
        </w:tc>
        <w:tc>
          <w:tcPr>
            <w:tcW w:w="800" w:type="dxa"/>
            <w:vAlign w:val="bottom"/>
          </w:tcPr>
          <w:p>
            <w:pPr>
              <w:spacing w:after="0"/>
              <w:rPr>
                <w:sz w:val="18"/>
                <w:szCs w:val="18"/>
                <w:color w:val="auto"/>
              </w:rPr>
            </w:pPr>
          </w:p>
        </w:tc>
      </w:tr>
      <w:tr>
        <w:trPr>
          <w:trHeight w:val="222"/>
        </w:trPr>
        <w:tc>
          <w:tcPr>
            <w:tcW w:w="8740" w:type="dxa"/>
            <w:vAlign w:val="bottom"/>
          </w:tcPr>
          <w:p>
            <w:pPr>
              <w:spacing w:after="0"/>
              <w:rPr>
                <w:sz w:val="20"/>
                <w:szCs w:val="20"/>
                <w:color w:val="auto"/>
              </w:rPr>
            </w:pPr>
            <w:r>
              <w:rPr>
                <w:rFonts w:ascii="Arial" w:cs="Arial" w:eastAsia="Arial" w:hAnsi="Arial"/>
                <w:sz w:val="16"/>
                <w:szCs w:val="16"/>
                <w:b w:val="1"/>
                <w:bCs w:val="1"/>
                <w:color w:val="auto"/>
              </w:rPr>
              <w:t>Net cash provided by (used in):</w:t>
            </w:r>
          </w:p>
        </w:tc>
        <w:tc>
          <w:tcPr>
            <w:tcW w:w="7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00" w:type="dxa"/>
            <w:vAlign w:val="bottom"/>
          </w:tcPr>
          <w:p>
            <w:pPr>
              <w:spacing w:after="0"/>
              <w:rPr>
                <w:sz w:val="19"/>
                <w:szCs w:val="19"/>
                <w:color w:val="auto"/>
              </w:rPr>
            </w:pPr>
          </w:p>
        </w:tc>
      </w:tr>
      <w:tr>
        <w:trPr>
          <w:trHeight w:val="216"/>
        </w:trPr>
        <w:tc>
          <w:tcPr>
            <w:tcW w:w="8740" w:type="dxa"/>
            <w:vAlign w:val="bottom"/>
          </w:tcPr>
          <w:p>
            <w:pPr>
              <w:ind w:left="120"/>
              <w:spacing w:after="0"/>
              <w:rPr>
                <w:sz w:val="20"/>
                <w:szCs w:val="20"/>
                <w:color w:val="auto"/>
              </w:rPr>
            </w:pPr>
            <w:r>
              <w:rPr>
                <w:rFonts w:ascii="Arial" w:cs="Arial" w:eastAsia="Arial" w:hAnsi="Arial"/>
                <w:sz w:val="16"/>
                <w:szCs w:val="16"/>
                <w:color w:val="auto"/>
              </w:rPr>
              <w:t>Operating activities</w:t>
            </w:r>
          </w:p>
        </w:tc>
        <w:tc>
          <w:tcPr>
            <w:tcW w:w="740" w:type="dxa"/>
            <w:vAlign w:val="bottom"/>
          </w:tcPr>
          <w:p>
            <w:pPr>
              <w:jc w:val="right"/>
              <w:ind w:right="562"/>
              <w:spacing w:after="0"/>
              <w:rPr>
                <w:sz w:val="20"/>
                <w:szCs w:val="20"/>
                <w:color w:val="auto"/>
              </w:rPr>
            </w:pPr>
            <w:r>
              <w:rPr>
                <w:rFonts w:ascii="Arial" w:cs="Arial" w:eastAsia="Arial" w:hAnsi="Arial"/>
                <w:sz w:val="16"/>
                <w:szCs w:val="16"/>
                <w:color w:val="auto"/>
                <w:w w:val="89"/>
              </w:rPr>
              <w:t>$</w:t>
            </w:r>
          </w:p>
        </w:tc>
        <w:tc>
          <w:tcPr>
            <w:tcW w:w="440" w:type="dxa"/>
            <w:vAlign w:val="bottom"/>
          </w:tcPr>
          <w:p>
            <w:pPr>
              <w:jc w:val="right"/>
              <w:spacing w:after="0"/>
              <w:rPr>
                <w:sz w:val="20"/>
                <w:szCs w:val="20"/>
                <w:color w:val="auto"/>
              </w:rPr>
            </w:pPr>
            <w:r>
              <w:rPr>
                <w:rFonts w:ascii="Arial" w:cs="Arial" w:eastAsia="Arial" w:hAnsi="Arial"/>
                <w:sz w:val="16"/>
                <w:szCs w:val="16"/>
                <w:color w:val="auto"/>
                <w:w w:val="89"/>
              </w:rPr>
              <w:t>1,991</w:t>
            </w:r>
          </w:p>
        </w:tc>
        <w:tc>
          <w:tcPr>
            <w:tcW w:w="120" w:type="dxa"/>
            <w:vAlign w:val="bottom"/>
          </w:tcPr>
          <w:p>
            <w:pPr>
              <w:spacing w:after="0"/>
              <w:rPr>
                <w:sz w:val="18"/>
                <w:szCs w:val="18"/>
                <w:color w:val="auto"/>
              </w:rPr>
            </w:pPr>
          </w:p>
        </w:tc>
        <w:tc>
          <w:tcPr>
            <w:tcW w:w="380" w:type="dxa"/>
            <w:vAlign w:val="bottom"/>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847</w:t>
            </w:r>
          </w:p>
        </w:tc>
      </w:tr>
      <w:tr>
        <w:trPr>
          <w:trHeight w:val="216"/>
        </w:trPr>
        <w:tc>
          <w:tcPr>
            <w:tcW w:w="8740" w:type="dxa"/>
            <w:vAlign w:val="bottom"/>
          </w:tcPr>
          <w:p>
            <w:pPr>
              <w:ind w:left="120"/>
              <w:spacing w:after="0"/>
              <w:rPr>
                <w:sz w:val="20"/>
                <w:szCs w:val="20"/>
                <w:color w:val="auto"/>
              </w:rPr>
            </w:pPr>
            <w:r>
              <w:rPr>
                <w:rFonts w:ascii="Arial" w:cs="Arial" w:eastAsia="Arial" w:hAnsi="Arial"/>
                <w:sz w:val="16"/>
                <w:szCs w:val="16"/>
                <w:color w:val="auto"/>
              </w:rPr>
              <w:t>Investing activities</w:t>
            </w:r>
          </w:p>
        </w:tc>
        <w:tc>
          <w:tcPr>
            <w:tcW w:w="74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6"/>
                <w:szCs w:val="16"/>
                <w:color w:val="auto"/>
              </w:rPr>
              <w:t>(815)</w:t>
            </w: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(1,814)</w:t>
            </w:r>
          </w:p>
        </w:tc>
      </w:tr>
      <w:tr>
        <w:trPr>
          <w:trHeight w:val="219"/>
        </w:trPr>
        <w:tc>
          <w:tcPr>
            <w:tcW w:w="8740" w:type="dxa"/>
            <w:vAlign w:val="bottom"/>
          </w:tcPr>
          <w:p>
            <w:pPr>
              <w:ind w:left="120"/>
              <w:spacing w:after="0"/>
              <w:rPr>
                <w:sz w:val="20"/>
                <w:szCs w:val="20"/>
                <w:color w:val="auto"/>
              </w:rPr>
            </w:pPr>
            <w:r>
              <w:rPr>
                <w:rFonts w:ascii="Arial" w:cs="Arial" w:eastAsia="Arial" w:hAnsi="Arial"/>
                <w:sz w:val="16"/>
                <w:szCs w:val="16"/>
                <w:color w:val="auto"/>
              </w:rPr>
              <w:t>Financing activities</w:t>
            </w:r>
          </w:p>
        </w:tc>
        <w:tc>
          <w:tcPr>
            <w:tcW w:w="74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(496)</w:t>
            </w:r>
          </w:p>
        </w:tc>
        <w:tc>
          <w:tcPr>
            <w:tcW w:w="12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707</w:t>
            </w:r>
          </w:p>
        </w:tc>
      </w:tr>
      <w:tr>
        <w:trPr>
          <w:trHeight w:val="213"/>
        </w:trPr>
        <w:tc>
          <w:tcPr>
            <w:tcW w:w="8740" w:type="dxa"/>
            <w:vAlign w:val="bottom"/>
          </w:tcPr>
          <w:p>
            <w:pPr>
              <w:ind w:left="200"/>
              <w:spacing w:after="0"/>
              <w:rPr>
                <w:sz w:val="20"/>
                <w:szCs w:val="20"/>
                <w:color w:val="auto"/>
              </w:rPr>
            </w:pPr>
            <w:r>
              <w:rPr>
                <w:rFonts w:ascii="Arial" w:cs="Arial" w:eastAsia="Arial" w:hAnsi="Arial"/>
                <w:sz w:val="16"/>
                <w:szCs w:val="16"/>
                <w:b w:val="1"/>
                <w:bCs w:val="1"/>
                <w:color w:val="auto"/>
              </w:rPr>
              <w:t>Net Increase (Decrease) in Cash and Cash Equivalents</w:t>
            </w:r>
          </w:p>
        </w:tc>
        <w:tc>
          <w:tcPr>
            <w:tcW w:w="740" w:type="dxa"/>
            <w:vAlign w:val="bottom"/>
            <w:tcBorders>
              <w:bottom w:val="single" w:sz="8" w:color="auto"/>
            </w:tcBorders>
          </w:tcPr>
          <w:p>
            <w:pPr>
              <w:jc w:val="right"/>
              <w:ind w:right="562"/>
              <w:spacing w:after="0"/>
              <w:rPr>
                <w:sz w:val="20"/>
                <w:szCs w:val="20"/>
                <w:color w:val="auto"/>
              </w:rPr>
            </w:pPr>
            <w:r>
              <w:rPr>
                <w:rFonts w:ascii="Arial" w:cs="Arial" w:eastAsia="Arial" w:hAnsi="Arial"/>
                <w:sz w:val="16"/>
                <w:szCs w:val="16"/>
                <w:color w:val="auto"/>
                <w:w w:val="89"/>
              </w:rPr>
              <w:t>$</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680</w:t>
            </w:r>
          </w:p>
        </w:tc>
        <w:tc>
          <w:tcPr>
            <w:tcW w:w="120" w:type="dxa"/>
            <w:vAlign w:val="bottom"/>
          </w:tcPr>
          <w:p>
            <w:pPr>
              <w:spacing w:after="0"/>
              <w:rPr>
                <w:sz w:val="18"/>
                <w:szCs w:val="18"/>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(260)</w:t>
            </w:r>
          </w:p>
        </w:tc>
      </w:tr>
      <w:tr>
        <w:trPr>
          <w:trHeight w:val="20"/>
        </w:trPr>
        <w:tc>
          <w:tcPr>
            <w:tcW w:w="87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9" w:name="page30"/>
    <w:bookmarkEnd w:id="29"/>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Liquidity and Capital Resources (continued)</w:t>
      </w:r>
    </w:p>
    <w:p>
      <w:pPr>
        <w:spacing w:after="0" w:line="12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b w:val="1"/>
          <w:bCs w:val="1"/>
          <w:i w:val="1"/>
          <w:iCs w:val="1"/>
          <w:color w:val="auto"/>
        </w:rPr>
        <w:t xml:space="preserve">Operating activities: </w:t>
      </w:r>
      <w:r>
        <w:rPr>
          <w:rFonts w:ascii="Arial" w:cs="Arial" w:eastAsia="Arial" w:hAnsi="Arial"/>
          <w:sz w:val="18"/>
          <w:szCs w:val="18"/>
          <w:color w:val="auto"/>
        </w:rPr>
        <w:t>Net cash provided by operating activities was $1,991 million in the first nine months of 2021, compared to $847 million in the first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nine months of 2020. The increase in 2021 operating cash flows primarily reflects higher realized selling prices and the sale of 4.2 million barrels of Bakken crude oil stored on two VLCCs in the first quarter of 2021. Changes in operating assets and liabilities reduced net cash provided by operating activities by $114 million in the first nine months of 2021 and $424 million in the first nine months of 2020. At September 30, 2021, we have accrued income taxes and royalties payable of approximately $350 million in Libya primarily related to operations from the period December 2020 through September 2021, which we expect to be paid in the fourth quarter of 2021.</w:t>
      </w:r>
    </w:p>
    <w:p>
      <w:pPr>
        <w:spacing w:after="0" w:line="84" w:lineRule="exact"/>
        <w:rPr>
          <w:sz w:val="20"/>
          <w:szCs w:val="20"/>
          <w:color w:val="auto"/>
        </w:rPr>
      </w:pPr>
    </w:p>
    <w:p>
      <w:pPr>
        <w:jc w:val="both"/>
        <w:spacing w:after="0" w:line="286" w:lineRule="auto"/>
        <w:rPr>
          <w:sz w:val="20"/>
          <w:szCs w:val="20"/>
          <w:color w:val="auto"/>
        </w:rPr>
      </w:pPr>
      <w:r>
        <w:rPr>
          <w:rFonts w:ascii="Arial" w:cs="Arial" w:eastAsia="Arial" w:hAnsi="Arial"/>
          <w:sz w:val="17"/>
          <w:szCs w:val="17"/>
          <w:b w:val="1"/>
          <w:bCs w:val="1"/>
          <w:i w:val="1"/>
          <w:iCs w:val="1"/>
          <w:color w:val="auto"/>
        </w:rPr>
        <w:t xml:space="preserve">Investing activities: </w:t>
      </w:r>
      <w:r>
        <w:rPr>
          <w:rFonts w:ascii="Arial" w:cs="Arial" w:eastAsia="Arial" w:hAnsi="Arial"/>
          <w:sz w:val="17"/>
          <w:szCs w:val="17"/>
          <w:color w:val="auto"/>
        </w:rPr>
        <w:t>Additions to property, plant and equipment of $1,238 million in the first nine months of 2021 were down $585 million compared with</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the corresponding period in 2020. The decrease primarily reflects reduced drilling activity. Proceeds from asset sales of $427 million resulted from the sale of our interests in Denmark and the sale of our Little Knife and Murphy Creek nonstrategic acreage interests in the Bakken.</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reconciles capital expenditures incurred on an accrual basis to Additions to property, plant and equipment:</w:t>
      </w:r>
    </w:p>
    <w:p>
      <w:pPr>
        <w:spacing w:after="0" w:line="139" w:lineRule="exact"/>
        <w:rPr>
          <w:sz w:val="20"/>
          <w:szCs w:val="20"/>
          <w:color w:val="auto"/>
        </w:rPr>
      </w:pPr>
    </w:p>
    <w:p>
      <w:pPr>
        <w:jc w:val="center"/>
        <w:ind w:left="8740"/>
        <w:spacing w:after="0"/>
        <w:rPr>
          <w:sz w:val="20"/>
          <w:szCs w:val="20"/>
          <w:color w:val="auto"/>
        </w:rPr>
      </w:pPr>
      <w:r>
        <w:rPr>
          <w:rFonts w:ascii="Arial" w:cs="Arial" w:eastAsia="Arial" w:hAnsi="Arial"/>
          <w:sz w:val="14"/>
          <w:szCs w:val="14"/>
          <w:b w:val="1"/>
          <w:bCs w:val="1"/>
          <w:color w:val="auto"/>
        </w:rPr>
        <w:t>Nine Months Ended</w:t>
      </w:r>
    </w:p>
    <w:p>
      <w:pPr>
        <w:jc w:val="center"/>
        <w:ind w:left="8740"/>
        <w:spacing w:after="0"/>
        <w:rPr>
          <w:sz w:val="20"/>
          <w:szCs w:val="20"/>
          <w:color w:val="auto"/>
        </w:rPr>
      </w:pPr>
      <w:r>
        <w:rPr>
          <w:rFonts w:ascii="Arial" w:cs="Arial" w:eastAsia="Arial" w:hAnsi="Arial"/>
          <w:sz w:val="14"/>
          <w:szCs w:val="14"/>
          <w:b w:val="1"/>
          <w:bCs w:val="1"/>
          <w:color w:val="auto"/>
        </w:rPr>
        <w:t>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5560060</wp:posOffset>
            </wp:positionH>
            <wp:positionV relativeFrom="paragraph">
              <wp:posOffset>13335</wp:posOffset>
            </wp:positionV>
            <wp:extent cx="157734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577340" cy="8255"/>
                    </a:xfrm>
                    <a:prstGeom prst="rect">
                      <a:avLst/>
                    </a:prstGeom>
                    <a:noFill/>
                  </pic:spPr>
                </pic:pic>
              </a:graphicData>
            </a:graphic>
          </wp:anchor>
        </w:drawing>
      </w:r>
    </w:p>
    <w:p>
      <w:pPr>
        <w:spacing w:after="0" w:line="19"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874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361"/>
              <w:spacing w:after="0"/>
              <w:rPr>
                <w:sz w:val="20"/>
                <w:szCs w:val="20"/>
                <w:color w:val="auto"/>
              </w:rPr>
            </w:pPr>
            <w:r>
              <w:rPr>
                <w:rFonts w:ascii="Arial" w:cs="Arial" w:eastAsia="Arial" w:hAnsi="Arial"/>
                <w:sz w:val="14"/>
                <w:szCs w:val="14"/>
                <w:b w:val="1"/>
                <w:bCs w:val="1"/>
                <w:color w:val="auto"/>
              </w:rPr>
              <w:t>2021</w:t>
            </w:r>
          </w:p>
        </w:tc>
        <w:tc>
          <w:tcPr>
            <w:tcW w:w="1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380"/>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44"/>
        </w:trPr>
        <w:tc>
          <w:tcPr>
            <w:tcW w:w="87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00" w:type="dxa"/>
            <w:vAlign w:val="bottom"/>
            <w:gridSpan w:val="3"/>
          </w:tcPr>
          <w:p>
            <w:pPr>
              <w:jc w:val="right"/>
              <w:spacing w:after="0"/>
              <w:rPr>
                <w:sz w:val="20"/>
                <w:szCs w:val="20"/>
                <w:color w:val="auto"/>
              </w:rPr>
            </w:pPr>
            <w:r>
              <w:rPr>
                <w:rFonts w:ascii="Arial" w:cs="Arial" w:eastAsia="Arial" w:hAnsi="Arial"/>
                <w:sz w:val="14"/>
                <w:szCs w:val="14"/>
                <w:b w:val="1"/>
                <w:bCs w:val="1"/>
                <w:color w:val="auto"/>
              </w:rPr>
              <w:t>(In millions)</w:t>
            </w:r>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8740" w:type="dxa"/>
            <w:vAlign w:val="bottom"/>
          </w:tcPr>
          <w:p>
            <w:pPr>
              <w:spacing w:after="0"/>
              <w:rPr>
                <w:sz w:val="20"/>
                <w:szCs w:val="20"/>
                <w:color w:val="auto"/>
              </w:rPr>
            </w:pPr>
            <w:r>
              <w:rPr>
                <w:rFonts w:ascii="Arial" w:cs="Arial" w:eastAsia="Arial" w:hAnsi="Arial"/>
                <w:sz w:val="16"/>
                <w:szCs w:val="16"/>
                <w:b w:val="1"/>
                <w:bCs w:val="1"/>
                <w:color w:val="auto"/>
              </w:rPr>
              <w:t>Additions to property, plant and equipment - E&amp;P:</w:t>
            </w:r>
          </w:p>
        </w:tc>
        <w:tc>
          <w:tcPr>
            <w:tcW w:w="2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740" w:type="dxa"/>
            <w:vAlign w:val="bottom"/>
          </w:tcPr>
          <w:p>
            <w:pPr>
              <w:ind w:left="120"/>
              <w:spacing w:after="0"/>
              <w:rPr>
                <w:sz w:val="20"/>
                <w:szCs w:val="20"/>
                <w:color w:val="auto"/>
              </w:rPr>
            </w:pPr>
            <w:r>
              <w:rPr>
                <w:rFonts w:ascii="Arial" w:cs="Arial" w:eastAsia="Arial" w:hAnsi="Arial"/>
                <w:sz w:val="16"/>
                <w:szCs w:val="16"/>
                <w:color w:val="auto"/>
              </w:rPr>
              <w:t>Capital expenditures incurred - E&amp;P</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(1,145)</w:t>
            </w:r>
          </w:p>
        </w:tc>
        <w:tc>
          <w:tcPr>
            <w:tcW w:w="120" w:type="dxa"/>
            <w:vAlign w:val="bottom"/>
          </w:tcPr>
          <w:p>
            <w:pPr>
              <w:spacing w:after="0"/>
              <w:rPr>
                <w:sz w:val="18"/>
                <w:szCs w:val="18"/>
                <w:color w:val="auto"/>
              </w:rPr>
            </w:pPr>
          </w:p>
        </w:tc>
        <w:tc>
          <w:tcPr>
            <w:tcW w:w="380" w:type="dxa"/>
            <w:vAlign w:val="bottom"/>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(1,338)</w:t>
            </w:r>
          </w:p>
        </w:tc>
        <w:tc>
          <w:tcPr>
            <w:tcW w:w="0" w:type="dxa"/>
            <w:vAlign w:val="bottom"/>
          </w:tcPr>
          <w:p>
            <w:pPr>
              <w:spacing w:after="0"/>
              <w:rPr>
                <w:sz w:val="1"/>
                <w:szCs w:val="1"/>
                <w:color w:val="auto"/>
              </w:rPr>
            </w:pPr>
          </w:p>
        </w:tc>
      </w:tr>
      <w:tr>
        <w:trPr>
          <w:trHeight w:val="219"/>
        </w:trPr>
        <w:tc>
          <w:tcPr>
            <w:tcW w:w="8740" w:type="dxa"/>
            <w:vAlign w:val="bottom"/>
          </w:tcPr>
          <w:p>
            <w:pPr>
              <w:ind w:left="120"/>
              <w:spacing w:after="0"/>
              <w:rPr>
                <w:sz w:val="20"/>
                <w:szCs w:val="20"/>
                <w:color w:val="auto"/>
              </w:rPr>
            </w:pPr>
            <w:r>
              <w:rPr>
                <w:rFonts w:ascii="Arial" w:cs="Arial" w:eastAsia="Arial" w:hAnsi="Arial"/>
                <w:sz w:val="16"/>
                <w:szCs w:val="16"/>
                <w:color w:val="auto"/>
              </w:rPr>
              <w:t>Increase (decrease) in related liabilities</w:t>
            </w: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w:t>
            </w:r>
          </w:p>
        </w:tc>
        <w:tc>
          <w:tcPr>
            <w:tcW w:w="12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(239)</w:t>
            </w:r>
          </w:p>
        </w:tc>
        <w:tc>
          <w:tcPr>
            <w:tcW w:w="0" w:type="dxa"/>
            <w:vAlign w:val="bottom"/>
          </w:tcPr>
          <w:p>
            <w:pPr>
              <w:spacing w:after="0"/>
              <w:rPr>
                <w:sz w:val="1"/>
                <w:szCs w:val="1"/>
                <w:color w:val="auto"/>
              </w:rPr>
            </w:pPr>
          </w:p>
        </w:tc>
      </w:tr>
      <w:tr>
        <w:trPr>
          <w:trHeight w:val="213"/>
        </w:trPr>
        <w:tc>
          <w:tcPr>
            <w:tcW w:w="8740" w:type="dxa"/>
            <w:vAlign w:val="bottom"/>
          </w:tcPr>
          <w:p>
            <w:pPr>
              <w:ind w:left="200"/>
              <w:spacing w:after="0"/>
              <w:rPr>
                <w:sz w:val="20"/>
                <w:szCs w:val="20"/>
                <w:color w:val="auto"/>
              </w:rPr>
            </w:pPr>
            <w:r>
              <w:rPr>
                <w:rFonts w:ascii="Arial" w:cs="Arial" w:eastAsia="Arial" w:hAnsi="Arial"/>
                <w:sz w:val="16"/>
                <w:szCs w:val="16"/>
                <w:b w:val="1"/>
                <w:bCs w:val="1"/>
                <w:color w:val="auto"/>
              </w:rPr>
              <w:t>Additions to property, plant and equipment - E&amp;P</w:t>
            </w:r>
          </w:p>
        </w:tc>
        <w:tc>
          <w:tcPr>
            <w:tcW w:w="28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(1,118)</w:t>
            </w:r>
          </w:p>
        </w:tc>
        <w:tc>
          <w:tcPr>
            <w:tcW w:w="120" w:type="dxa"/>
            <w:vAlign w:val="bottom"/>
          </w:tcPr>
          <w:p>
            <w:pPr>
              <w:spacing w:after="0"/>
              <w:rPr>
                <w:sz w:val="18"/>
                <w:szCs w:val="18"/>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(1,577)</w:t>
            </w:r>
          </w:p>
        </w:tc>
        <w:tc>
          <w:tcPr>
            <w:tcW w:w="0" w:type="dxa"/>
            <w:vAlign w:val="bottom"/>
          </w:tcPr>
          <w:p>
            <w:pPr>
              <w:spacing w:after="0"/>
              <w:rPr>
                <w:sz w:val="1"/>
                <w:szCs w:val="1"/>
                <w:color w:val="auto"/>
              </w:rPr>
            </w:pPr>
          </w:p>
        </w:tc>
      </w:tr>
      <w:tr>
        <w:trPr>
          <w:trHeight w:val="20"/>
        </w:trPr>
        <w:tc>
          <w:tcPr>
            <w:tcW w:w="8740" w:type="dxa"/>
            <w:vAlign w:val="bottom"/>
            <w:vMerge w:val="restart"/>
          </w:tcPr>
          <w:p>
            <w:pPr>
              <w:spacing w:after="0"/>
              <w:rPr>
                <w:sz w:val="20"/>
                <w:szCs w:val="20"/>
                <w:color w:val="auto"/>
              </w:rPr>
            </w:pPr>
            <w:r>
              <w:rPr>
                <w:rFonts w:ascii="Arial" w:cs="Arial" w:eastAsia="Arial" w:hAnsi="Arial"/>
                <w:sz w:val="16"/>
                <w:szCs w:val="16"/>
                <w:b w:val="1"/>
                <w:bCs w:val="1"/>
                <w:color w:val="auto"/>
              </w:rPr>
              <w:t>Additions to property, plant and equipment - Midstream:</w:t>
            </w: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4"/>
        </w:trPr>
        <w:tc>
          <w:tcPr>
            <w:tcW w:w="8740" w:type="dxa"/>
            <w:vAlign w:val="bottom"/>
            <w:vMerge w:val="continue"/>
          </w:tcPr>
          <w:p>
            <w:pPr>
              <w:spacing w:after="0"/>
              <w:rPr>
                <w:sz w:val="17"/>
                <w:szCs w:val="17"/>
                <w:color w:val="auto"/>
              </w:rPr>
            </w:pPr>
          </w:p>
        </w:tc>
        <w:tc>
          <w:tcPr>
            <w:tcW w:w="2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740" w:type="dxa"/>
            <w:vAlign w:val="bottom"/>
          </w:tcPr>
          <w:p>
            <w:pPr>
              <w:ind w:left="120"/>
              <w:spacing w:after="0"/>
              <w:rPr>
                <w:sz w:val="20"/>
                <w:szCs w:val="20"/>
                <w:color w:val="auto"/>
              </w:rPr>
            </w:pPr>
            <w:r>
              <w:rPr>
                <w:rFonts w:ascii="Arial" w:cs="Arial" w:eastAsia="Arial" w:hAnsi="Arial"/>
                <w:sz w:val="16"/>
                <w:szCs w:val="16"/>
                <w:color w:val="auto"/>
              </w:rPr>
              <w:t>Capital expenditures incurred - Midstream</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(129)</w:t>
            </w:r>
          </w:p>
        </w:tc>
        <w:tc>
          <w:tcPr>
            <w:tcW w:w="120" w:type="dxa"/>
            <w:vAlign w:val="bottom"/>
          </w:tcPr>
          <w:p>
            <w:pPr>
              <w:spacing w:after="0"/>
              <w:rPr>
                <w:sz w:val="18"/>
                <w:szCs w:val="18"/>
                <w:color w:val="auto"/>
              </w:rPr>
            </w:pPr>
          </w:p>
        </w:tc>
        <w:tc>
          <w:tcPr>
            <w:tcW w:w="380" w:type="dxa"/>
            <w:vAlign w:val="bottom"/>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(202)</w:t>
            </w:r>
          </w:p>
        </w:tc>
        <w:tc>
          <w:tcPr>
            <w:tcW w:w="0" w:type="dxa"/>
            <w:vAlign w:val="bottom"/>
          </w:tcPr>
          <w:p>
            <w:pPr>
              <w:spacing w:after="0"/>
              <w:rPr>
                <w:sz w:val="1"/>
                <w:szCs w:val="1"/>
                <w:color w:val="auto"/>
              </w:rPr>
            </w:pPr>
          </w:p>
        </w:tc>
      </w:tr>
      <w:tr>
        <w:trPr>
          <w:trHeight w:val="219"/>
        </w:trPr>
        <w:tc>
          <w:tcPr>
            <w:tcW w:w="8740" w:type="dxa"/>
            <w:vAlign w:val="bottom"/>
          </w:tcPr>
          <w:p>
            <w:pPr>
              <w:ind w:left="120"/>
              <w:spacing w:after="0"/>
              <w:rPr>
                <w:sz w:val="20"/>
                <w:szCs w:val="20"/>
                <w:color w:val="auto"/>
              </w:rPr>
            </w:pPr>
            <w:r>
              <w:rPr>
                <w:rFonts w:ascii="Arial" w:cs="Arial" w:eastAsia="Arial" w:hAnsi="Arial"/>
                <w:sz w:val="16"/>
                <w:szCs w:val="16"/>
                <w:color w:val="auto"/>
              </w:rPr>
              <w:t>Increase (decrease) in related liabilities</w:t>
            </w: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w:t>
            </w:r>
          </w:p>
        </w:tc>
        <w:tc>
          <w:tcPr>
            <w:tcW w:w="12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(44)</w:t>
            </w:r>
          </w:p>
        </w:tc>
        <w:tc>
          <w:tcPr>
            <w:tcW w:w="0" w:type="dxa"/>
            <w:vAlign w:val="bottom"/>
          </w:tcPr>
          <w:p>
            <w:pPr>
              <w:spacing w:after="0"/>
              <w:rPr>
                <w:sz w:val="1"/>
                <w:szCs w:val="1"/>
                <w:color w:val="auto"/>
              </w:rPr>
            </w:pPr>
          </w:p>
        </w:tc>
      </w:tr>
      <w:tr>
        <w:trPr>
          <w:trHeight w:val="213"/>
        </w:trPr>
        <w:tc>
          <w:tcPr>
            <w:tcW w:w="8740" w:type="dxa"/>
            <w:vAlign w:val="bottom"/>
          </w:tcPr>
          <w:p>
            <w:pPr>
              <w:ind w:left="200"/>
              <w:spacing w:after="0"/>
              <w:rPr>
                <w:sz w:val="20"/>
                <w:szCs w:val="20"/>
                <w:color w:val="auto"/>
              </w:rPr>
            </w:pPr>
            <w:r>
              <w:rPr>
                <w:rFonts w:ascii="Arial" w:cs="Arial" w:eastAsia="Arial" w:hAnsi="Arial"/>
                <w:sz w:val="16"/>
                <w:szCs w:val="16"/>
                <w:b w:val="1"/>
                <w:bCs w:val="1"/>
                <w:color w:val="auto"/>
              </w:rPr>
              <w:t>Additions to property, plant and equipment - Midstream</w:t>
            </w:r>
          </w:p>
        </w:tc>
        <w:tc>
          <w:tcPr>
            <w:tcW w:w="28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(120)</w:t>
            </w:r>
          </w:p>
        </w:tc>
        <w:tc>
          <w:tcPr>
            <w:tcW w:w="120" w:type="dxa"/>
            <w:vAlign w:val="bottom"/>
          </w:tcPr>
          <w:p>
            <w:pPr>
              <w:spacing w:after="0"/>
              <w:rPr>
                <w:sz w:val="18"/>
                <w:szCs w:val="18"/>
                <w:color w:val="auto"/>
              </w:rPr>
            </w:pPr>
          </w:p>
        </w:tc>
        <w:tc>
          <w:tcPr>
            <w:tcW w:w="38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(246)</w:t>
            </w:r>
          </w:p>
        </w:tc>
        <w:tc>
          <w:tcPr>
            <w:tcW w:w="0" w:type="dxa"/>
            <w:vAlign w:val="bottom"/>
          </w:tcPr>
          <w:p>
            <w:pPr>
              <w:spacing w:after="0"/>
              <w:rPr>
                <w:sz w:val="1"/>
                <w:szCs w:val="1"/>
                <w:color w:val="auto"/>
              </w:rPr>
            </w:pPr>
          </w:p>
        </w:tc>
      </w:tr>
      <w:tr>
        <w:trPr>
          <w:trHeight w:val="20"/>
        </w:trPr>
        <w:tc>
          <w:tcPr>
            <w:tcW w:w="87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spacing w:after="0" w:line="269" w:lineRule="auto"/>
        <w:rPr>
          <w:sz w:val="20"/>
          <w:szCs w:val="20"/>
          <w:color w:val="auto"/>
        </w:rPr>
      </w:pPr>
      <w:r>
        <w:rPr>
          <w:rFonts w:ascii="Arial" w:cs="Arial" w:eastAsia="Arial" w:hAnsi="Arial"/>
          <w:sz w:val="17"/>
          <w:szCs w:val="17"/>
          <w:b w:val="1"/>
          <w:bCs w:val="1"/>
          <w:i w:val="1"/>
          <w:iCs w:val="1"/>
          <w:color w:val="auto"/>
        </w:rPr>
        <w:t xml:space="preserve">Financing activities: </w:t>
      </w:r>
      <w:r>
        <w:rPr>
          <w:rFonts w:ascii="Arial" w:cs="Arial" w:eastAsia="Arial" w:hAnsi="Arial"/>
          <w:sz w:val="17"/>
          <w:szCs w:val="17"/>
          <w:color w:val="auto"/>
        </w:rPr>
        <w:t>Hess Midstream reduced borrowings under its revolving credit facilities by $32 million in the first nine months of 2021 and increased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borrowings by $146 million in the first nine months of 2020. In the third quarter of 2021, Hess Midstream issued $750 million in aggregate principal amount of 4.250% fixed-rate senior unsecured notes due 2030 to finance the repurchase of 31.25 million HESM Opco Class B units. In March of 2020, the Corporation borrowed $1 billion under a new three year term loan that matures in March 2023. In the third quarter of 2021, we repaid $500 million relating to our $1 billion term loan. Common stock dividends were $234 million in the first nine months of 2021 and $233 million in the first nine months of 2020. Net cash paid to noncontrolling interests was $589 million in the first nine months of 2021 which included $375 million paid to GIP in the third quarter of 2021 for the repurchase by HESM Opco of approximately 15.6 million GIP-owned Class B units. Net cash paid to noncontrolling interests was $194 million in the first nine months of 2020. Proceeds received from stock options exercised by employees was $75 million in the first nine months of 2021 and $15 million in the first nine months of 2020. In the first quarter of 2021, we received net proceeds of $70 million from the public offering of 3.45 million Hess-owned Class A shares in Hess Midstream LP.</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Future Capital Requirements and Resources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At September 30, 2021, we had $2.41 billion in cash and cash equivalents, excluding Midstream, and total liquidity of approximately $6.0 billion. Oil and gas production in 2021, excluding Libya, is forecast to be approximately 295,000 boepd. For the remainder of 2021, we have hedged 120,000 bopd with $55 WTI put options and 30,000 bopd with $60 Brent put options. For calendar 2022, we have hedged 90,000 bopd with WTI collars with an average monthly floor price of $60 per barrel and an average monthly ceiling price of $90 per barrel, and 60,000 bopd with Brent collars with an average monthly floor price of $65 per barrel and an average monthly ceiling price of $95 per barrel.</w:t>
      </w:r>
    </w:p>
    <w:p>
      <w:pPr>
        <w:spacing w:after="0" w:line="8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the third quarter of 2021, we received net proceeds of approximately $130 million from the sale of our interests in Denmark and $375 million from the repurchase by HESM Opco of approximately 15.6 million Hess-owned Class B units. We also repaid $500 million of our $1 billion term loan and we intend to repay the remaining $500 million in 2022. In October, we received net proceeds of $108 million from the public offering of approximately 4.3 million Hess-owned Class A shares of Hess Midstream LP.</w:t>
      </w:r>
    </w:p>
    <w:p>
      <w:pPr>
        <w:sectPr>
          <w:pgSz w:w="11900" w:h="16838" w:orient="portrait"/>
          <w:cols w:equalWidth="0" w:num="1">
            <w:col w:w="11240"/>
          </w:cols>
          <w:pgMar w:left="320" w:top="58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type w:val="continuous"/>
        </w:sectPr>
      </w:pPr>
    </w:p>
    <w:bookmarkStart w:id="30" w:name="page31"/>
    <w:bookmarkEnd w:id="30"/>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Liquidity and Capital Resources (continued)</w:t>
      </w:r>
    </w:p>
    <w:p>
      <w:pPr>
        <w:spacing w:after="0" w:line="121"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Net cash provided by operating activities was $1,991 million in the first nine months of 2021, compared with $847 million in the first nine months of 2020. Net cash provided by operating activities before changes in operating assets and liabilities was $2,105 million in the first nine months of 2021 and $1,271 million in the first nine months of 2020. Capital expenditures were $1,274 million in the first nine months of 2021 and $1,540 million in the first nine months of 2020. In 2022, based on current forward strip crude oil prices, we expect cash flow from operating activities and cash and cash equivalents at September 30, 2021 will be sufficient to fund our capital investment program, dividends, and the repayment of the remaining $500 million outstanding under our $1 billion term loan. Depending on market conditions, we may take any of the following steps, or a combination thereof, to improve our liquidity and financial position: reduce the planned capital program and other cash outlays, including dividends, pursue asset sales, borrow against our committed revolving credit facility, or issue debt or equity securities.</w:t>
      </w:r>
    </w:p>
    <w:p>
      <w:pPr>
        <w:spacing w:after="0" w:line="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table below summarizes the capacity, usage, and available capacity for borrowings and letters of credit under committed and uncommitted credit facilities at September 30, 2021:</w:t>
      </w:r>
    </w:p>
    <w:p>
      <w:pPr>
        <w:spacing w:after="0" w:line="64"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4360" w:type="dxa"/>
            <w:vAlign w:val="bottom"/>
          </w:tcPr>
          <w:p>
            <w:pPr>
              <w:spacing w:after="0"/>
              <w:rPr>
                <w:sz w:val="14"/>
                <w:szCs w:val="14"/>
                <w:color w:val="auto"/>
              </w:rPr>
            </w:pPr>
          </w:p>
        </w:tc>
        <w:tc>
          <w:tcPr>
            <w:tcW w:w="1580" w:type="dxa"/>
            <w:vAlign w:val="bottom"/>
            <w:gridSpan w:val="2"/>
            <w:vMerge w:val="restart"/>
          </w:tcPr>
          <w:p>
            <w:pPr>
              <w:ind w:left="400"/>
              <w:spacing w:after="0"/>
              <w:rPr>
                <w:sz w:val="20"/>
                <w:szCs w:val="20"/>
                <w:color w:val="auto"/>
              </w:rPr>
            </w:pPr>
            <w:r>
              <w:rPr>
                <w:rFonts w:ascii="Arial" w:cs="Arial" w:eastAsia="Arial" w:hAnsi="Arial"/>
                <w:sz w:val="14"/>
                <w:szCs w:val="14"/>
                <w:b w:val="1"/>
                <w:bCs w:val="1"/>
                <w:color w:val="auto"/>
              </w:rPr>
              <w:t>Expiration</w:t>
            </w:r>
          </w:p>
        </w:tc>
        <w:tc>
          <w:tcPr>
            <w:tcW w:w="1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Letters of</w:t>
            </w:r>
          </w:p>
        </w:tc>
        <w:tc>
          <w:tcPr>
            <w:tcW w:w="220" w:type="dxa"/>
            <w:vAlign w:val="bottom"/>
          </w:tcPr>
          <w:p>
            <w:pPr>
              <w:spacing w:after="0"/>
              <w:rPr>
                <w:sz w:val="14"/>
                <w:szCs w:val="14"/>
                <w:color w:val="auto"/>
              </w:rPr>
            </w:pPr>
          </w:p>
        </w:tc>
        <w:tc>
          <w:tcPr>
            <w:tcW w:w="84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4"/>
                <w:szCs w:val="14"/>
                <w:color w:val="auto"/>
              </w:rPr>
            </w:pPr>
          </w:p>
        </w:tc>
        <w:tc>
          <w:tcPr>
            <w:tcW w:w="820" w:type="dxa"/>
            <w:vAlign w:val="bottom"/>
            <w:vMerge w:val="restart"/>
          </w:tcPr>
          <w:p>
            <w:pPr>
              <w:jc w:val="right"/>
              <w:ind w:right="121"/>
              <w:spacing w:after="0"/>
              <w:rPr>
                <w:sz w:val="20"/>
                <w:szCs w:val="20"/>
                <w:color w:val="auto"/>
              </w:rPr>
            </w:pPr>
            <w:r>
              <w:rPr>
                <w:rFonts w:ascii="Arial" w:cs="Arial" w:eastAsia="Arial" w:hAnsi="Arial"/>
                <w:sz w:val="14"/>
                <w:szCs w:val="14"/>
                <w:b w:val="1"/>
                <w:bCs w:val="1"/>
                <w:color w:val="auto"/>
                <w:w w:val="97"/>
              </w:rPr>
              <w:t>Available</w:t>
            </w:r>
          </w:p>
        </w:tc>
        <w:tc>
          <w:tcPr>
            <w:tcW w:w="0" w:type="dxa"/>
            <w:vAlign w:val="bottom"/>
          </w:tcPr>
          <w:p>
            <w:pPr>
              <w:spacing w:after="0"/>
              <w:rPr>
                <w:sz w:val="1"/>
                <w:szCs w:val="1"/>
                <w:color w:val="auto"/>
              </w:rPr>
            </w:pPr>
          </w:p>
        </w:tc>
      </w:tr>
      <w:tr>
        <w:trPr>
          <w:trHeight w:val="135"/>
        </w:trPr>
        <w:tc>
          <w:tcPr>
            <w:tcW w:w="4360" w:type="dxa"/>
            <w:vAlign w:val="bottom"/>
          </w:tcPr>
          <w:p>
            <w:pPr>
              <w:spacing w:after="0"/>
              <w:rPr>
                <w:sz w:val="11"/>
                <w:szCs w:val="11"/>
                <w:color w:val="auto"/>
              </w:rPr>
            </w:pPr>
          </w:p>
        </w:tc>
        <w:tc>
          <w:tcPr>
            <w:tcW w:w="158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vMerge w:val="restart"/>
          </w:tcPr>
          <w:p>
            <w:pPr>
              <w:jc w:val="right"/>
              <w:ind w:right="140"/>
              <w:spacing w:after="0"/>
              <w:rPr>
                <w:sz w:val="20"/>
                <w:szCs w:val="20"/>
                <w:color w:val="auto"/>
              </w:rPr>
            </w:pPr>
            <w:r>
              <w:rPr>
                <w:rFonts w:ascii="Arial" w:cs="Arial" w:eastAsia="Arial" w:hAnsi="Arial"/>
                <w:sz w:val="14"/>
                <w:szCs w:val="14"/>
                <w:b w:val="1"/>
                <w:bCs w:val="1"/>
                <w:color w:val="auto"/>
                <w:w w:val="99"/>
              </w:rPr>
              <w:t>Capacity</w:t>
            </w:r>
          </w:p>
        </w:tc>
        <w:tc>
          <w:tcPr>
            <w:tcW w:w="100" w:type="dxa"/>
            <w:vAlign w:val="bottom"/>
            <w:vMerge w:val="restart"/>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vMerge w:val="restart"/>
          </w:tcPr>
          <w:p>
            <w:pPr>
              <w:jc w:val="right"/>
              <w:ind w:right="60"/>
              <w:spacing w:after="0"/>
              <w:rPr>
                <w:sz w:val="20"/>
                <w:szCs w:val="20"/>
                <w:color w:val="auto"/>
              </w:rPr>
            </w:pPr>
            <w:r>
              <w:rPr>
                <w:rFonts w:ascii="Arial" w:cs="Arial" w:eastAsia="Arial" w:hAnsi="Arial"/>
                <w:sz w:val="14"/>
                <w:szCs w:val="14"/>
                <w:b w:val="1"/>
                <w:bCs w:val="1"/>
                <w:color w:val="auto"/>
                <w:w w:val="89"/>
              </w:rPr>
              <w:t>Borrowings</w:t>
            </w:r>
          </w:p>
        </w:tc>
        <w:tc>
          <w:tcPr>
            <w:tcW w:w="100" w:type="dxa"/>
            <w:vAlign w:val="bottom"/>
            <w:vMerge w:val="restart"/>
          </w:tcPr>
          <w:p>
            <w:pPr>
              <w:spacing w:after="0"/>
              <w:rPr>
                <w:sz w:val="11"/>
                <w:szCs w:val="11"/>
                <w:color w:val="auto"/>
              </w:rPr>
            </w:pPr>
          </w:p>
        </w:tc>
        <w:tc>
          <w:tcPr>
            <w:tcW w:w="100" w:type="dxa"/>
            <w:vAlign w:val="bottom"/>
          </w:tcPr>
          <w:p>
            <w:pPr>
              <w:spacing w:after="0"/>
              <w:rPr>
                <w:sz w:val="11"/>
                <w:szCs w:val="11"/>
                <w:color w:val="auto"/>
              </w:rPr>
            </w:pPr>
          </w:p>
        </w:tc>
        <w:tc>
          <w:tcPr>
            <w:tcW w:w="980" w:type="dxa"/>
            <w:vAlign w:val="bottom"/>
            <w:gridSpan w:val="2"/>
          </w:tcPr>
          <w:p>
            <w:pPr>
              <w:jc w:val="center"/>
              <w:ind w:right="220"/>
              <w:spacing w:after="0" w:line="135" w:lineRule="exact"/>
              <w:rPr>
                <w:sz w:val="20"/>
                <w:szCs w:val="20"/>
                <w:color w:val="auto"/>
              </w:rPr>
            </w:pPr>
            <w:r>
              <w:rPr>
                <w:rFonts w:ascii="Arial" w:cs="Arial" w:eastAsia="Arial" w:hAnsi="Arial"/>
                <w:sz w:val="14"/>
                <w:szCs w:val="14"/>
                <w:b w:val="1"/>
                <w:bCs w:val="1"/>
                <w:color w:val="auto"/>
                <w:w w:val="98"/>
              </w:rPr>
              <w:t>Credit</w:t>
            </w:r>
          </w:p>
        </w:tc>
        <w:tc>
          <w:tcPr>
            <w:tcW w:w="220" w:type="dxa"/>
            <w:vAlign w:val="bottom"/>
          </w:tcPr>
          <w:p>
            <w:pPr>
              <w:spacing w:after="0"/>
              <w:rPr>
                <w:sz w:val="11"/>
                <w:szCs w:val="11"/>
                <w:color w:val="auto"/>
              </w:rPr>
            </w:pPr>
          </w:p>
        </w:tc>
        <w:tc>
          <w:tcPr>
            <w:tcW w:w="84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4360" w:type="dxa"/>
            <w:vAlign w:val="bottom"/>
          </w:tcPr>
          <w:p>
            <w:pPr>
              <w:spacing w:after="0"/>
              <w:rPr>
                <w:sz w:val="16"/>
                <w:szCs w:val="16"/>
                <w:color w:val="auto"/>
              </w:rPr>
            </w:pPr>
          </w:p>
        </w:tc>
        <w:tc>
          <w:tcPr>
            <w:tcW w:w="1480" w:type="dxa"/>
            <w:vAlign w:val="bottom"/>
            <w:tcBorders>
              <w:bottom w:val="single" w:sz="8" w:color="auto"/>
            </w:tcBorders>
          </w:tcPr>
          <w:p>
            <w:pPr>
              <w:ind w:left="600"/>
              <w:spacing w:after="0"/>
              <w:rPr>
                <w:sz w:val="20"/>
                <w:szCs w:val="20"/>
                <w:color w:val="auto"/>
              </w:rPr>
            </w:pPr>
            <w:r>
              <w:rPr>
                <w:rFonts w:ascii="Arial" w:cs="Arial" w:eastAsia="Arial" w:hAnsi="Arial"/>
                <w:sz w:val="14"/>
                <w:szCs w:val="14"/>
                <w:b w:val="1"/>
                <w:bCs w:val="1"/>
                <w:color w:val="auto"/>
              </w:rPr>
              <w:t>Date</w:t>
            </w: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23"/>
              <w:spacing w:after="0"/>
              <w:rPr>
                <w:sz w:val="20"/>
                <w:szCs w:val="20"/>
                <w:color w:val="auto"/>
              </w:rPr>
            </w:pPr>
            <w:r>
              <w:rPr>
                <w:rFonts w:ascii="Arial" w:cs="Arial" w:eastAsia="Arial" w:hAnsi="Arial"/>
                <w:sz w:val="14"/>
                <w:szCs w:val="14"/>
                <w:b w:val="1"/>
                <w:bCs w:val="1"/>
                <w:color w:val="auto"/>
                <w:w w:val="85"/>
              </w:rPr>
              <w:t>Issued</w:t>
            </w: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Used</w:t>
            </w: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141"/>
              <w:spacing w:after="0"/>
              <w:rPr>
                <w:sz w:val="20"/>
                <w:szCs w:val="20"/>
                <w:color w:val="auto"/>
              </w:rPr>
            </w:pPr>
            <w:r>
              <w:rPr>
                <w:rFonts w:ascii="Arial" w:cs="Arial" w:eastAsia="Arial" w:hAnsi="Arial"/>
                <w:sz w:val="14"/>
                <w:szCs w:val="14"/>
                <w:b w:val="1"/>
                <w:bCs w:val="1"/>
                <w:color w:val="auto"/>
                <w:w w:val="99"/>
              </w:rPr>
              <w:t>Capacity</w:t>
            </w:r>
          </w:p>
        </w:tc>
        <w:tc>
          <w:tcPr>
            <w:tcW w:w="0" w:type="dxa"/>
            <w:vAlign w:val="bottom"/>
          </w:tcPr>
          <w:p>
            <w:pPr>
              <w:spacing w:after="0"/>
              <w:rPr>
                <w:sz w:val="1"/>
                <w:szCs w:val="1"/>
                <w:color w:val="auto"/>
              </w:rPr>
            </w:pPr>
          </w:p>
        </w:tc>
      </w:tr>
      <w:tr>
        <w:trPr>
          <w:trHeight w:val="212"/>
        </w:trPr>
        <w:tc>
          <w:tcPr>
            <w:tcW w:w="436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6"/>
              </w:rPr>
              <w:t>(In millions)</w:t>
            </w: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360" w:type="dxa"/>
            <w:vAlign w:val="bottom"/>
          </w:tcPr>
          <w:p>
            <w:pPr>
              <w:spacing w:after="0"/>
              <w:rPr>
                <w:sz w:val="20"/>
                <w:szCs w:val="20"/>
                <w:color w:val="auto"/>
              </w:rPr>
            </w:pPr>
            <w:r>
              <w:rPr>
                <w:rFonts w:ascii="Arial" w:cs="Arial" w:eastAsia="Arial" w:hAnsi="Arial"/>
                <w:sz w:val="16"/>
                <w:szCs w:val="16"/>
                <w:b w:val="1"/>
                <w:bCs w:val="1"/>
                <w:color w:val="auto"/>
              </w:rPr>
              <w:t>Hess Corporation</w:t>
            </w:r>
          </w:p>
        </w:tc>
        <w:tc>
          <w:tcPr>
            <w:tcW w:w="1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360" w:type="dxa"/>
            <w:vAlign w:val="bottom"/>
          </w:tcPr>
          <w:p>
            <w:pPr>
              <w:ind w:left="120"/>
              <w:spacing w:after="0"/>
              <w:rPr>
                <w:sz w:val="20"/>
                <w:szCs w:val="20"/>
                <w:color w:val="auto"/>
              </w:rPr>
            </w:pPr>
            <w:r>
              <w:rPr>
                <w:rFonts w:ascii="Arial" w:cs="Arial" w:eastAsia="Arial" w:hAnsi="Arial"/>
                <w:sz w:val="16"/>
                <w:szCs w:val="16"/>
                <w:color w:val="auto"/>
              </w:rPr>
              <w:t>Revolving credit facility</w:t>
            </w:r>
          </w:p>
        </w:tc>
        <w:tc>
          <w:tcPr>
            <w:tcW w:w="1580" w:type="dxa"/>
            <w:vAlign w:val="bottom"/>
            <w:gridSpan w:val="2"/>
          </w:tcPr>
          <w:p>
            <w:pPr>
              <w:ind w:left="20"/>
              <w:spacing w:after="0"/>
              <w:rPr>
                <w:sz w:val="20"/>
                <w:szCs w:val="20"/>
                <w:color w:val="auto"/>
              </w:rPr>
            </w:pPr>
            <w:r>
              <w:rPr>
                <w:rFonts w:ascii="Arial" w:cs="Arial" w:eastAsia="Arial" w:hAnsi="Arial"/>
                <w:sz w:val="16"/>
                <w:szCs w:val="16"/>
                <w:color w:val="auto"/>
              </w:rPr>
              <w:t>May, 2024</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3,500</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3,500</w:t>
            </w:r>
          </w:p>
        </w:tc>
        <w:tc>
          <w:tcPr>
            <w:tcW w:w="0" w:type="dxa"/>
            <w:vAlign w:val="bottom"/>
          </w:tcPr>
          <w:p>
            <w:pPr>
              <w:spacing w:after="0"/>
              <w:rPr>
                <w:sz w:val="1"/>
                <w:szCs w:val="1"/>
                <w:color w:val="auto"/>
              </w:rPr>
            </w:pPr>
          </w:p>
        </w:tc>
      </w:tr>
      <w:tr>
        <w:trPr>
          <w:trHeight w:val="216"/>
        </w:trPr>
        <w:tc>
          <w:tcPr>
            <w:tcW w:w="4360" w:type="dxa"/>
            <w:vAlign w:val="bottom"/>
          </w:tcPr>
          <w:p>
            <w:pPr>
              <w:ind w:left="120"/>
              <w:spacing w:after="0"/>
              <w:rPr>
                <w:sz w:val="20"/>
                <w:szCs w:val="20"/>
                <w:color w:val="auto"/>
              </w:rPr>
            </w:pPr>
            <w:r>
              <w:rPr>
                <w:rFonts w:ascii="Arial" w:cs="Arial" w:eastAsia="Arial" w:hAnsi="Arial"/>
                <w:sz w:val="16"/>
                <w:szCs w:val="16"/>
                <w:color w:val="auto"/>
              </w:rPr>
              <w:t>Committed lines</w:t>
            </w:r>
          </w:p>
        </w:tc>
        <w:tc>
          <w:tcPr>
            <w:tcW w:w="1580" w:type="dxa"/>
            <w:vAlign w:val="bottom"/>
            <w:gridSpan w:val="2"/>
          </w:tcPr>
          <w:p>
            <w:pPr>
              <w:ind w:left="20"/>
              <w:spacing w:after="0"/>
              <w:rPr>
                <w:sz w:val="20"/>
                <w:szCs w:val="20"/>
                <w:color w:val="auto"/>
              </w:rPr>
            </w:pPr>
            <w:r>
              <w:rPr>
                <w:rFonts w:ascii="Arial" w:cs="Arial" w:eastAsia="Arial" w:hAnsi="Arial"/>
                <w:sz w:val="16"/>
                <w:szCs w:val="16"/>
                <w:color w:val="auto"/>
              </w:rPr>
              <w:t>Various (a)</w:t>
            </w: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100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80" w:type="dxa"/>
            <w:vAlign w:val="bottom"/>
          </w:tcPr>
          <w:p>
            <w:pPr>
              <w:jc w:val="right"/>
              <w:ind w:right="3"/>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29</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71</w:t>
            </w:r>
          </w:p>
        </w:tc>
        <w:tc>
          <w:tcPr>
            <w:tcW w:w="0" w:type="dxa"/>
            <w:vAlign w:val="bottom"/>
          </w:tcPr>
          <w:p>
            <w:pPr>
              <w:spacing w:after="0"/>
              <w:rPr>
                <w:sz w:val="1"/>
                <w:szCs w:val="1"/>
                <w:color w:val="auto"/>
              </w:rPr>
            </w:pPr>
          </w:p>
        </w:tc>
      </w:tr>
      <w:tr>
        <w:trPr>
          <w:trHeight w:val="219"/>
        </w:trPr>
        <w:tc>
          <w:tcPr>
            <w:tcW w:w="4360" w:type="dxa"/>
            <w:vAlign w:val="bottom"/>
          </w:tcPr>
          <w:p>
            <w:pPr>
              <w:ind w:left="120"/>
              <w:spacing w:after="0"/>
              <w:rPr>
                <w:sz w:val="20"/>
                <w:szCs w:val="20"/>
                <w:color w:val="auto"/>
              </w:rPr>
            </w:pPr>
            <w:r>
              <w:rPr>
                <w:rFonts w:ascii="Arial" w:cs="Arial" w:eastAsia="Arial" w:hAnsi="Arial"/>
                <w:sz w:val="16"/>
                <w:szCs w:val="16"/>
                <w:color w:val="auto"/>
              </w:rPr>
              <w:t>Uncommitted lines</w:t>
            </w:r>
          </w:p>
        </w:tc>
        <w:tc>
          <w:tcPr>
            <w:tcW w:w="1580" w:type="dxa"/>
            <w:vAlign w:val="bottom"/>
            <w:gridSpan w:val="2"/>
          </w:tcPr>
          <w:p>
            <w:pPr>
              <w:ind w:left="20"/>
              <w:spacing w:after="0"/>
              <w:rPr>
                <w:sz w:val="20"/>
                <w:szCs w:val="20"/>
                <w:color w:val="auto"/>
              </w:rPr>
            </w:pPr>
            <w:r>
              <w:rPr>
                <w:rFonts w:ascii="Arial" w:cs="Arial" w:eastAsia="Arial" w:hAnsi="Arial"/>
                <w:sz w:val="16"/>
                <w:szCs w:val="16"/>
                <w:color w:val="auto"/>
              </w:rPr>
              <w:t>Various (a)</w:t>
            </w:r>
          </w:p>
        </w:tc>
        <w:tc>
          <w:tcPr>
            <w:tcW w:w="1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230</w:t>
            </w:r>
          </w:p>
        </w:tc>
        <w:tc>
          <w:tcPr>
            <w:tcW w:w="1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3"/>
              <w:spacing w:after="0"/>
              <w:rPr>
                <w:sz w:val="20"/>
                <w:szCs w:val="20"/>
                <w:color w:val="auto"/>
              </w:rPr>
            </w:pPr>
            <w:r>
              <w:rPr>
                <w:rFonts w:ascii="Arial" w:cs="Arial" w:eastAsia="Arial" w:hAnsi="Arial"/>
                <w:sz w:val="16"/>
                <w:szCs w:val="16"/>
                <w:color w:val="auto"/>
              </w:rPr>
              <w:t>230</w:t>
            </w:r>
          </w:p>
        </w:tc>
        <w:tc>
          <w:tcPr>
            <w:tcW w:w="10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230</w:t>
            </w:r>
          </w:p>
        </w:tc>
        <w:tc>
          <w:tcPr>
            <w:tcW w:w="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4360" w:type="dxa"/>
            <w:vAlign w:val="bottom"/>
          </w:tcPr>
          <w:p>
            <w:pPr>
              <w:ind w:left="200"/>
              <w:spacing w:after="0"/>
              <w:rPr>
                <w:sz w:val="20"/>
                <w:szCs w:val="20"/>
                <w:color w:val="auto"/>
              </w:rPr>
            </w:pPr>
            <w:r>
              <w:rPr>
                <w:rFonts w:ascii="Arial" w:cs="Arial" w:eastAsia="Arial" w:hAnsi="Arial"/>
                <w:sz w:val="16"/>
                <w:szCs w:val="16"/>
                <w:b w:val="1"/>
                <w:bCs w:val="1"/>
                <w:color w:val="auto"/>
              </w:rPr>
              <w:t>Total - Hess Corporation</w:t>
            </w: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3,830</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6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Pr>
          <w:p>
            <w:pPr>
              <w:jc w:val="right"/>
              <w:ind w:right="3"/>
              <w:spacing w:after="0"/>
              <w:rPr>
                <w:sz w:val="20"/>
                <w:szCs w:val="20"/>
                <w:color w:val="auto"/>
              </w:rPr>
            </w:pPr>
            <w:r>
              <w:rPr>
                <w:rFonts w:ascii="Arial" w:cs="Arial" w:eastAsia="Arial" w:hAnsi="Arial"/>
                <w:sz w:val="16"/>
                <w:szCs w:val="16"/>
                <w:color w:val="auto"/>
              </w:rPr>
              <w:t>259</w:t>
            </w:r>
          </w:p>
        </w:tc>
        <w:tc>
          <w:tcPr>
            <w:tcW w:w="100" w:type="dxa"/>
            <w:vAlign w:val="bottom"/>
          </w:tcPr>
          <w:p>
            <w:pPr>
              <w:spacing w:after="0"/>
              <w:rPr>
                <w:sz w:val="18"/>
                <w:szCs w:val="18"/>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259</w:t>
            </w: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3,571</w:t>
            </w:r>
          </w:p>
        </w:tc>
        <w:tc>
          <w:tcPr>
            <w:tcW w:w="0" w:type="dxa"/>
            <w:vAlign w:val="bottom"/>
          </w:tcPr>
          <w:p>
            <w:pPr>
              <w:spacing w:after="0"/>
              <w:rPr>
                <w:sz w:val="1"/>
                <w:szCs w:val="1"/>
                <w:color w:val="auto"/>
              </w:rPr>
            </w:pPr>
          </w:p>
        </w:tc>
      </w:tr>
      <w:tr>
        <w:trPr>
          <w:trHeight w:val="20"/>
        </w:trPr>
        <w:tc>
          <w:tcPr>
            <w:tcW w:w="4360" w:type="dxa"/>
            <w:vAlign w:val="bottom"/>
            <w:vMerge w:val="restart"/>
          </w:tcPr>
          <w:p>
            <w:pPr>
              <w:spacing w:after="0"/>
              <w:rPr>
                <w:sz w:val="20"/>
                <w:szCs w:val="20"/>
                <w:color w:val="auto"/>
              </w:rPr>
            </w:pPr>
            <w:r>
              <w:rPr>
                <w:rFonts w:ascii="Arial" w:cs="Arial" w:eastAsia="Arial" w:hAnsi="Arial"/>
                <w:sz w:val="16"/>
                <w:szCs w:val="16"/>
                <w:b w:val="1"/>
                <w:bCs w:val="1"/>
                <w:color w:val="auto"/>
              </w:rPr>
              <w:t>Midstream</w:t>
            </w:r>
          </w:p>
        </w:tc>
        <w:tc>
          <w:tcPr>
            <w:tcW w:w="1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4"/>
        </w:trPr>
        <w:tc>
          <w:tcPr>
            <w:tcW w:w="4360" w:type="dxa"/>
            <w:vAlign w:val="bottom"/>
            <w:vMerge w:val="continue"/>
          </w:tcPr>
          <w:p>
            <w:pPr>
              <w:spacing w:after="0"/>
              <w:rPr>
                <w:sz w:val="17"/>
                <w:szCs w:val="17"/>
                <w:color w:val="auto"/>
              </w:rPr>
            </w:pPr>
          </w:p>
        </w:tc>
        <w:tc>
          <w:tcPr>
            <w:tcW w:w="1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4360" w:type="dxa"/>
            <w:vAlign w:val="bottom"/>
          </w:tcPr>
          <w:p>
            <w:pPr>
              <w:ind w:left="120"/>
              <w:spacing w:after="0"/>
              <w:rPr>
                <w:sz w:val="20"/>
                <w:szCs w:val="20"/>
                <w:color w:val="auto"/>
              </w:rPr>
            </w:pPr>
            <w:r>
              <w:rPr>
                <w:rFonts w:ascii="Arial" w:cs="Arial" w:eastAsia="Arial" w:hAnsi="Arial"/>
                <w:sz w:val="16"/>
                <w:szCs w:val="16"/>
                <w:color w:val="auto"/>
              </w:rPr>
              <w:t>Revolving credit facility (b)</w:t>
            </w:r>
          </w:p>
        </w:tc>
        <w:tc>
          <w:tcPr>
            <w:tcW w:w="1580" w:type="dxa"/>
            <w:vAlign w:val="bottom"/>
            <w:gridSpan w:val="2"/>
          </w:tcPr>
          <w:p>
            <w:pPr>
              <w:ind w:left="20"/>
              <w:spacing w:after="0"/>
              <w:rPr>
                <w:sz w:val="20"/>
                <w:szCs w:val="20"/>
                <w:color w:val="auto"/>
              </w:rPr>
            </w:pPr>
            <w:r>
              <w:rPr>
                <w:rFonts w:ascii="Arial" w:cs="Arial" w:eastAsia="Arial" w:hAnsi="Arial"/>
                <w:sz w:val="16"/>
                <w:szCs w:val="16"/>
                <w:color w:val="auto"/>
              </w:rPr>
              <w:t>December, 2024</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1,000</w:t>
            </w:r>
          </w:p>
        </w:tc>
        <w:tc>
          <w:tcPr>
            <w:tcW w:w="10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152</w:t>
            </w:r>
          </w:p>
        </w:tc>
        <w:tc>
          <w:tcPr>
            <w:tcW w:w="10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auto"/>
            </w:tcBorders>
          </w:tcPr>
          <w:p>
            <w:pPr>
              <w:jc w:val="right"/>
              <w:ind w:right="3"/>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2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152</w:t>
            </w:r>
          </w:p>
        </w:tc>
        <w:tc>
          <w:tcPr>
            <w:tcW w:w="10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848</w:t>
            </w:r>
          </w:p>
        </w:tc>
        <w:tc>
          <w:tcPr>
            <w:tcW w:w="0" w:type="dxa"/>
            <w:vAlign w:val="bottom"/>
          </w:tcPr>
          <w:p>
            <w:pPr>
              <w:spacing w:after="0"/>
              <w:rPr>
                <w:sz w:val="1"/>
                <w:szCs w:val="1"/>
                <w:color w:val="auto"/>
              </w:rPr>
            </w:pPr>
          </w:p>
        </w:tc>
      </w:tr>
      <w:tr>
        <w:trPr>
          <w:trHeight w:val="213"/>
        </w:trPr>
        <w:tc>
          <w:tcPr>
            <w:tcW w:w="4360" w:type="dxa"/>
            <w:vAlign w:val="bottom"/>
          </w:tcPr>
          <w:p>
            <w:pPr>
              <w:ind w:left="200"/>
              <w:spacing w:after="0"/>
              <w:rPr>
                <w:sz w:val="20"/>
                <w:szCs w:val="20"/>
                <w:color w:val="auto"/>
              </w:rPr>
            </w:pPr>
            <w:r>
              <w:rPr>
                <w:rFonts w:ascii="Arial" w:cs="Arial" w:eastAsia="Arial" w:hAnsi="Arial"/>
                <w:sz w:val="16"/>
                <w:szCs w:val="16"/>
                <w:b w:val="1"/>
                <w:bCs w:val="1"/>
                <w:color w:val="auto"/>
              </w:rPr>
              <w:t>Total - Midstream</w:t>
            </w: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1,000</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152</w:t>
            </w:r>
          </w:p>
        </w:tc>
        <w:tc>
          <w:tcPr>
            <w:tcW w:w="1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152</w:t>
            </w: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848</w:t>
            </w:r>
          </w:p>
        </w:tc>
        <w:tc>
          <w:tcPr>
            <w:tcW w:w="0" w:type="dxa"/>
            <w:vAlign w:val="bottom"/>
          </w:tcPr>
          <w:p>
            <w:pPr>
              <w:spacing w:after="0"/>
              <w:rPr>
                <w:sz w:val="1"/>
                <w:szCs w:val="1"/>
                <w:color w:val="auto"/>
              </w:rPr>
            </w:pPr>
          </w:p>
        </w:tc>
      </w:tr>
      <w:tr>
        <w:trPr>
          <w:trHeight w:val="20"/>
        </w:trPr>
        <w:tc>
          <w:tcPr>
            <w:tcW w:w="436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ind w:left="320" w:hanging="231"/>
        <w:spacing w:after="0"/>
        <w:tabs>
          <w:tab w:leader="none" w:pos="320" w:val="left"/>
        </w:tabs>
        <w:numPr>
          <w:ilvl w:val="0"/>
          <w:numId w:val="13"/>
        </w:numPr>
        <w:rPr>
          <w:rFonts w:ascii="Arial" w:cs="Arial" w:eastAsia="Arial" w:hAnsi="Arial"/>
          <w:sz w:val="14"/>
          <w:szCs w:val="14"/>
          <w:i w:val="1"/>
          <w:iCs w:val="1"/>
          <w:color w:val="auto"/>
        </w:rPr>
      </w:pPr>
      <w:r>
        <w:rPr>
          <w:rFonts w:ascii="Arial" w:cs="Arial" w:eastAsia="Arial" w:hAnsi="Arial"/>
          <w:sz w:val="14"/>
          <w:szCs w:val="14"/>
          <w:i w:val="1"/>
          <w:iCs w:val="1"/>
          <w:color w:val="auto"/>
        </w:rPr>
        <w:t>Committed and uncommitted lines have expiration dates through 2021.</w:t>
      </w:r>
    </w:p>
    <w:p>
      <w:pPr>
        <w:spacing w:after="0" w:line="13" w:lineRule="exact"/>
        <w:rPr>
          <w:rFonts w:ascii="Arial" w:cs="Arial" w:eastAsia="Arial" w:hAnsi="Arial"/>
          <w:sz w:val="14"/>
          <w:szCs w:val="14"/>
          <w:i w:val="1"/>
          <w:iCs w:val="1"/>
          <w:color w:val="auto"/>
        </w:rPr>
      </w:pPr>
    </w:p>
    <w:p>
      <w:pPr>
        <w:ind w:left="320" w:hanging="231"/>
        <w:spacing w:after="0"/>
        <w:tabs>
          <w:tab w:leader="none" w:pos="320" w:val="left"/>
        </w:tabs>
        <w:numPr>
          <w:ilvl w:val="0"/>
          <w:numId w:val="13"/>
        </w:numPr>
        <w:rPr>
          <w:rFonts w:ascii="Arial" w:cs="Arial" w:eastAsia="Arial" w:hAnsi="Arial"/>
          <w:sz w:val="14"/>
          <w:szCs w:val="14"/>
          <w:i w:val="1"/>
          <w:iCs w:val="1"/>
          <w:color w:val="auto"/>
        </w:rPr>
      </w:pPr>
      <w:r>
        <w:rPr>
          <w:rFonts w:ascii="Arial" w:cs="Arial" w:eastAsia="Arial" w:hAnsi="Arial"/>
          <w:sz w:val="14"/>
          <w:szCs w:val="14"/>
          <w:i w:val="1"/>
          <w:iCs w:val="1"/>
          <w:color w:val="auto"/>
        </w:rPr>
        <w:t>This credit facility may only be utilized by HESM Opco and is non-recourse to Hess Corporation.</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Hess Corporation:</w:t>
      </w:r>
    </w:p>
    <w:p>
      <w:pPr>
        <w:spacing w:after="0" w:line="11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April 13, 2021, we amended the Corporation's fully undrawn $3.5 billion revolving credit facility that had an expiration date in May 2023, by extending the facility for one year to May 2024 and incorporating customary provisions for the eventual replacement of LIBOR, among other changes as set forth in the amended credit agreement. This facility can be used for borrowings and letters of credit. Borrowings on the facility will generally bear interest at 1.40% above LIBOR, though the interest rate is subject to adjustment if the Corporation’s credit rating changes. At September 30, 2021, Hess Corporation had no outstanding borrowings or letters of credit under its revolving credit facility.</w:t>
      </w:r>
    </w:p>
    <w:p>
      <w:pPr>
        <w:spacing w:after="0" w:line="8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March 2020, we entered into a $1 billion three year term loan agreement with a maturity date of March 16, 2023. Borrowings under the term loan generally bear interest at LIBOR plus an applicable margin of 2.25% until the term loan's first anniversary. The applicable margin varies based on the credit rating of the Corporation’s senior unsecured long-term debt and will increase by 0.25% on each anniversary of the term loan. In July 2021, we repaid $500 million of the term loan. On October 4, 2021, we entered into a second amendment to the term loan agreement to allow for a 50 basis point reduction in the interest rate applicable to certain outstanding loans.</w:t>
      </w:r>
    </w:p>
    <w:p>
      <w:pPr>
        <w:spacing w:after="0" w:line="80"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revolving credit facility, including as amended, and term loan are subject to customary representations, warranties, customary events of default and covenants, including a financial covenant limiting the ratio of Total Consolidated Debt to Total Capitalization of the Corporation and its consolidated subsidiaries to 65%, and a financial covenant limiting the ratio of secured debt to Consolidated Net Tangible Assets of the Corporation and its consolidated subsidiaries to 15% (as these capitalized terms are defined in the credit agreement for the revolving credit facility and the term loan agreement). The indentures for the Corporation's fixed-rate public notes limit the ratio of secured debt to Consolidated Net Tangible Assets (as that term is defined in the indentures) to 15%. At September 30, 2021, Hess Corporation was in compliance with these financial covenants.</w:t>
      </w:r>
    </w:p>
    <w:p>
      <w:pPr>
        <w:spacing w:after="0" w:line="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Two of the three major credit rating agencies that rate our debt have assigned an investment grade rating. In March 2021, Standard and Poor’s Ratings Services affirmed our credit rating at BBB- and revised the outlook to stable (from negative). Fitch Ratings affirmed our BBB- credit rating and revised the outlook from stable to positive in August 2021 and Moody’s Investors Service affirmed our credit rating at Ba1 with stable outlook, which is below investment grade, in March 2020.</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We have a shelf registration under which we may issue additional debt securities, warrants, common stock or preferred stock.</w:t>
      </w:r>
    </w:p>
    <w:p>
      <w:pPr>
        <w:sectPr>
          <w:pgSz w:w="11900" w:h="16838" w:orient="portrait"/>
          <w:cols w:equalWidth="0" w:num="1">
            <w:col w:w="11240"/>
          </w:cols>
          <w:pgMar w:left="320" w:top="58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85090</wp:posOffset>
            </wp:positionV>
            <wp:extent cx="71577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type w:val="continuous"/>
        </w:sectPr>
      </w:pPr>
    </w:p>
    <w:bookmarkStart w:id="31" w:name="page32"/>
    <w:bookmarkEnd w:id="31"/>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Liquidity and Capital Resources (continued)</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Midstream:</w:t>
      </w:r>
    </w:p>
    <w:p>
      <w:pPr>
        <w:spacing w:after="0" w:line="117"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At September 30, 2021, Hess Midstream Operations LP (formerly Hess Midstream Partners LP, or HESM Opco), a consolidated subsidiary of Hess Midstream LP, had $1.4 billion of senior secured syndicated credit facilities maturing December 16, 2024, consisting of a $1 billion 5-year revolving credit facility and a fully drawn $400 million 5-year term loan A facility. The revolving credit facility can be used for borrowings and letters of credit to fund HESM Opco’s operating activities, capital expenditures, distributions and for other general corporate purposes. Borrowings under the five year term loan A facility will generally bear interest at LIBOR plus an applicable margin ranging from 1.55% to 2.50%, while the applicable margin for the five year syndicated revolving credit facility ranges from 1.275% to 2.000%. Pricing levels for the facility fee and interest-rate margins are based on HESM Opco’s ratio of total debt to EBITDA (as defined in the credit facilities). If HESM Opco obtains an investment grade credit rating, the pricing levels will be based on HESM Opco’s credit ratings in effect from time to time. The credit facilities contain covenants that require HESM Opco to maintain a ratio of total debt to EBITDA (as defined in the credit facilities) for the prior four fiscal quarters of not greater than 5.00 to 1.00 as of the last day of each fiscal quarter (5.50 to 1.00 during the specified period following certain acquisitions) and, prior to HESM Opco obtaining an investment grade credit rating, a ratio of secured debt to EBITDA for the prior four fiscal quarters of not greater than 4.00 to 1.00 as of the last day of each fiscal quarter. HESM Opco was in compliance with these financial covenants at September 30, 2021. The credit facilities are secured by first-priority perfected liens on substantially all the presently owned and after-acquired assets of HESM Opco and its direct and indirect wholly owned material domestic subsidiaries, including equity interests directly owned by such entities, subject to certain customary exclusions. At September 30, 2021, borrowings of $152 million were drawn under HESM Opco’s revolving credit facility, and borrowings of $393 million, excluding deferred issuance costs, were drawn under HESM Opco’s term loan A facility. Borrowings under these credit facilities are non-recourse to Hess Corporation.</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Market Risk Disclosures</w:t>
      </w:r>
    </w:p>
    <w:p>
      <w:pPr>
        <w:spacing w:after="0" w:line="121"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We are exposed in the normal course of business to commodity risks related to changes in the prices of crude oil and natural gas, as well as changes in interest rates and foreign currency values</w:t>
      </w:r>
      <w:r>
        <w:rPr>
          <w:rFonts w:ascii="Arial" w:cs="Arial" w:eastAsia="Arial" w:hAnsi="Arial"/>
          <w:sz w:val="17"/>
          <w:szCs w:val="17"/>
          <w:i w:val="1"/>
          <w:iCs w:val="1"/>
          <w:color w:val="auto"/>
        </w:rPr>
        <w:t>.</w:t>
      </w:r>
      <w:r>
        <w:rPr>
          <w:rFonts w:ascii="Arial" w:cs="Arial" w:eastAsia="Arial" w:hAnsi="Arial"/>
          <w:sz w:val="17"/>
          <w:szCs w:val="17"/>
          <w:color w:val="auto"/>
        </w:rPr>
        <w:t xml:space="preserve"> See </w:t>
      </w:r>
      <w:r>
        <w:rPr>
          <w:rFonts w:ascii="Arial" w:cs="Arial" w:eastAsia="Arial" w:hAnsi="Arial"/>
          <w:sz w:val="17"/>
          <w:szCs w:val="17"/>
          <w:i w:val="1"/>
          <w:iCs w:val="1"/>
          <w:color w:val="auto"/>
        </w:rPr>
        <w:t>Note 13, Financial Risk Management Activities</w:t>
      </w:r>
      <w:r>
        <w:rPr>
          <w:rFonts w:ascii="Arial" w:cs="Arial" w:eastAsia="Arial" w:hAnsi="Arial"/>
          <w:sz w:val="17"/>
          <w:szCs w:val="17"/>
          <w:color w:val="auto"/>
        </w:rPr>
        <w:t xml:space="preserve">, in the </w:t>
      </w:r>
      <w:r>
        <w:rPr>
          <w:rFonts w:ascii="Arial" w:cs="Arial" w:eastAsia="Arial" w:hAnsi="Arial"/>
          <w:sz w:val="17"/>
          <w:szCs w:val="17"/>
          <w:i w:val="1"/>
          <w:iCs w:val="1"/>
          <w:color w:val="auto"/>
        </w:rPr>
        <w:t>Notes to Consolidated Financial Statements</w:t>
      </w:r>
      <w:r>
        <w:rPr>
          <w:rFonts w:ascii="Arial" w:cs="Arial" w:eastAsia="Arial" w:hAnsi="Arial"/>
          <w:sz w:val="17"/>
          <w:szCs w:val="17"/>
          <w:color w:val="auto"/>
        </w:rPr>
        <w:t>.</w:t>
      </w:r>
    </w:p>
    <w:p>
      <w:pPr>
        <w:spacing w:after="0" w:line="3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have outstanding foreign exchange contracts with notional amounts totaling $135 million at September 30, 2021 that are used to reduce our exposure to fluctuating foreign exchange rates for various currencies. A 10% strengthening or weakening in the U.S. Dollar exchange rate is estimated to be a gain or loss, respectively, of approximately $5 million at September 30, 2021.</w:t>
      </w:r>
    </w:p>
    <w:p>
      <w:pPr>
        <w:spacing w:after="0" w:line="76"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At September 30, 2021, consolidated long-term debt, which was substantially comprised of fixed-rate instruments, had a carrying value of $8,507 million and a fair value of $10,052 million. A 15% increase or decrease in interest rates would decrease or increase the fair value of debt by approximately $390 million or $400 million, respectively. Any changes in interest rates do not impact our cash outflows associated with fixed-rate interest payments or settlement of debt principal, unless a debt instrument is repurchased prior to maturity.</w:t>
      </w:r>
    </w:p>
    <w:p>
      <w:pPr>
        <w:spacing w:after="0" w:line="7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At September 30, 2021, we have outstanding WTI and Brent crude oil hedging contracts. As of September 30, 2021, an assumed 10% increase in the forward WTI and Brent crude oil prices would reduce the fair value of these contracts by approximately $120 million, while an assumed 10% decrease in the same crude oil prices would increase the fair value of these contracts by approximately $110 million.</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32" w:name="page33"/>
    <w:bookmarkEnd w:id="32"/>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Cautionary Note Regarding Forward-Looking Statements</w:t>
      </w:r>
    </w:p>
    <w:p>
      <w:pPr>
        <w:spacing w:after="0" w:line="121"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This Quarterly Report on Form 10-Q, including information incorporated by reference herein, contains “forward-looking statements” within the meaning of Section 27A of the Securities Act of 1933, as amended, and Section 21E of the Securities Exchange Act of 1934, as amended. Words such as “anticipate,” “estimate,” “expect,” “forecast,” “guidance,” “could,” “may,” “should,” “would,” “believe,” “intend,” “project,” “plan,” “predict,” “will,” “target” and similar expressions identify forward-looking statements, which are not historical in nature. Our forward-looking statements may include, without limitation: our future financial and operational results; our business strategy; estimates of our crude oil and natural gas reserves and levels of production; benchmark prices of crude oil, NGL and natural gas and our associated realized price differentials; our projected budget and capital and exploratory expenditures; expected timing and completion of our development projects; and future economic and market conditions in the oil and gas industry.</w:t>
      </w:r>
    </w:p>
    <w:p>
      <w:pPr>
        <w:spacing w:after="0" w:line="58"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Forward-looking statements are based on our current understanding, assessments, estimates and projections of relevant factors and reasonable assumptions about the future. Forward-looking statements are subject to certain known and unknown risks and uncertainties that could cause actual results to differ materially from our historical experience and our current projections or expectations of future results expressed or implied by these forward-looking statements. The following important factors could cause actual results to differ materially from those in our forward-looking statements:</w:t>
      </w:r>
    </w:p>
    <w:p>
      <w:pPr>
        <w:spacing w:after="0" w:line="49" w:lineRule="exact"/>
        <w:rPr>
          <w:sz w:val="20"/>
          <w:szCs w:val="20"/>
          <w:color w:val="auto"/>
        </w:rPr>
      </w:pPr>
    </w:p>
    <w:p>
      <w:pPr>
        <w:ind w:left="540" w:hanging="168"/>
        <w:spacing w:after="0" w:line="277" w:lineRule="auto"/>
        <w:tabs>
          <w:tab w:leader="none" w:pos="535" w:val="left"/>
        </w:tabs>
        <w:numPr>
          <w:ilvl w:val="0"/>
          <w:numId w:val="14"/>
        </w:numPr>
        <w:rPr>
          <w:rFonts w:ascii="Arial" w:cs="Arial" w:eastAsia="Arial" w:hAnsi="Arial"/>
          <w:sz w:val="18"/>
          <w:szCs w:val="18"/>
          <w:color w:val="auto"/>
        </w:rPr>
      </w:pPr>
      <w:r>
        <w:rPr>
          <w:rFonts w:ascii="Arial" w:cs="Arial" w:eastAsia="Arial" w:hAnsi="Arial"/>
          <w:sz w:val="18"/>
          <w:szCs w:val="18"/>
          <w:color w:val="auto"/>
        </w:rPr>
        <w:t>fluctuations in market prices of crude oil, NGL and natural gas and competition in the oil and gas exploration and production industry, including as a result of COVID-19;</w:t>
      </w:r>
    </w:p>
    <w:p>
      <w:pPr>
        <w:spacing w:after="0" w:line="62" w:lineRule="exact"/>
        <w:rPr>
          <w:rFonts w:ascii="Arial" w:cs="Arial" w:eastAsia="Arial" w:hAnsi="Arial"/>
          <w:sz w:val="18"/>
          <w:szCs w:val="18"/>
          <w:color w:val="auto"/>
        </w:rPr>
      </w:pPr>
    </w:p>
    <w:p>
      <w:pPr>
        <w:ind w:left="540" w:hanging="168"/>
        <w:spacing w:after="0" w:line="277" w:lineRule="auto"/>
        <w:tabs>
          <w:tab w:leader="none" w:pos="535"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reduced demand for our products, including due to COVID-19 or the outbreak of any other public health threat, or due to the impact of competing or alternative energy products and political conditions and events;</w:t>
      </w:r>
    </w:p>
    <w:p>
      <w:pPr>
        <w:spacing w:after="0" w:line="62" w:lineRule="exact"/>
        <w:rPr>
          <w:rFonts w:ascii="Arial" w:cs="Arial" w:eastAsia="Arial" w:hAnsi="Arial"/>
          <w:sz w:val="18"/>
          <w:szCs w:val="18"/>
          <w:color w:val="auto"/>
        </w:rPr>
      </w:pPr>
    </w:p>
    <w:p>
      <w:pPr>
        <w:ind w:left="540" w:right="20" w:hanging="168"/>
        <w:spacing w:after="0" w:line="277" w:lineRule="auto"/>
        <w:tabs>
          <w:tab w:leader="none" w:pos="535" w:val="left"/>
        </w:tabs>
        <w:numPr>
          <w:ilvl w:val="0"/>
          <w:numId w:val="14"/>
        </w:numPr>
        <w:rPr>
          <w:rFonts w:ascii="Arial" w:cs="Arial" w:eastAsia="Arial" w:hAnsi="Arial"/>
          <w:sz w:val="18"/>
          <w:szCs w:val="18"/>
          <w:color w:val="auto"/>
        </w:rPr>
      </w:pPr>
      <w:r>
        <w:rPr>
          <w:rFonts w:ascii="Arial" w:cs="Arial" w:eastAsia="Arial" w:hAnsi="Arial"/>
          <w:sz w:val="18"/>
          <w:szCs w:val="18"/>
          <w:color w:val="auto"/>
        </w:rPr>
        <w:t>potential failures or delays in increasing oil and gas reserves, including as a result of unsuccessful exploration activity, drilling risks and unforeseen reservoir conditions, and in achieving expected production levels;</w:t>
      </w:r>
    </w:p>
    <w:p>
      <w:pPr>
        <w:spacing w:after="0" w:line="62" w:lineRule="exact"/>
        <w:rPr>
          <w:rFonts w:ascii="Arial" w:cs="Arial" w:eastAsia="Arial" w:hAnsi="Arial"/>
          <w:sz w:val="18"/>
          <w:szCs w:val="18"/>
          <w:color w:val="auto"/>
        </w:rPr>
      </w:pPr>
    </w:p>
    <w:p>
      <w:pPr>
        <w:ind w:left="540" w:hanging="168"/>
        <w:spacing w:after="0" w:line="342" w:lineRule="auto"/>
        <w:tabs>
          <w:tab w:leader="none" w:pos="535" w:val="left"/>
        </w:tabs>
        <w:numPr>
          <w:ilvl w:val="0"/>
          <w:numId w:val="14"/>
        </w:numPr>
        <w:rPr>
          <w:rFonts w:ascii="Arial" w:cs="Arial" w:eastAsia="Arial" w:hAnsi="Arial"/>
          <w:sz w:val="16"/>
          <w:szCs w:val="16"/>
          <w:color w:val="auto"/>
        </w:rPr>
      </w:pPr>
      <w:r>
        <w:rPr>
          <w:rFonts w:ascii="Arial" w:cs="Arial" w:eastAsia="Arial" w:hAnsi="Arial"/>
          <w:sz w:val="16"/>
          <w:szCs w:val="16"/>
          <w:color w:val="auto"/>
        </w:rPr>
        <w:t>changes in tax, property, contract and other laws, regulations and governmental actions applicable to our business, including legislative and regulatory initiatives regarding environmental concerns, such as measures to limit greenhouse gas emissions and flaring as well as fracking bans;</w:t>
      </w:r>
    </w:p>
    <w:p>
      <w:pPr>
        <w:spacing w:after="0" w:line="15" w:lineRule="exact"/>
        <w:rPr>
          <w:rFonts w:ascii="Arial" w:cs="Arial" w:eastAsia="Arial" w:hAnsi="Arial"/>
          <w:sz w:val="16"/>
          <w:szCs w:val="16"/>
          <w:color w:val="auto"/>
        </w:rPr>
      </w:pPr>
    </w:p>
    <w:p>
      <w:pPr>
        <w:ind w:left="540" w:right="20" w:hanging="168"/>
        <w:spacing w:after="0" w:line="277" w:lineRule="auto"/>
        <w:tabs>
          <w:tab w:leader="none" w:pos="535" w:val="left"/>
        </w:tabs>
        <w:numPr>
          <w:ilvl w:val="0"/>
          <w:numId w:val="14"/>
        </w:numPr>
        <w:rPr>
          <w:rFonts w:ascii="Arial" w:cs="Arial" w:eastAsia="Arial" w:hAnsi="Arial"/>
          <w:sz w:val="18"/>
          <w:szCs w:val="18"/>
          <w:color w:val="auto"/>
        </w:rPr>
      </w:pPr>
      <w:r>
        <w:rPr>
          <w:rFonts w:ascii="Arial" w:cs="Arial" w:eastAsia="Arial" w:hAnsi="Arial"/>
          <w:sz w:val="18"/>
          <w:szCs w:val="18"/>
          <w:color w:val="auto"/>
        </w:rPr>
        <w:t>disruption or interruption of our operations due to catastrophic events, such as accidents, severe weather, geological events, shortages of skilled labor, cyber-attacks or health measures related to COVID-19;</w:t>
      </w:r>
    </w:p>
    <w:p>
      <w:pPr>
        <w:spacing w:after="0" w:line="62" w:lineRule="exact"/>
        <w:rPr>
          <w:rFonts w:ascii="Arial" w:cs="Arial" w:eastAsia="Arial" w:hAnsi="Arial"/>
          <w:sz w:val="18"/>
          <w:szCs w:val="18"/>
          <w:color w:val="auto"/>
        </w:rPr>
      </w:pPr>
    </w:p>
    <w:p>
      <w:pPr>
        <w:ind w:left="540" w:hanging="168"/>
        <w:spacing w:after="0" w:line="277" w:lineRule="auto"/>
        <w:tabs>
          <w:tab w:leader="none" w:pos="535"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ability of our contractual counterparties to satisfy their obligations to us, including the operation of joint ventures under which we may not control;</w:t>
      </w:r>
    </w:p>
    <w:p>
      <w:pPr>
        <w:spacing w:after="0" w:line="62" w:lineRule="exact"/>
        <w:rPr>
          <w:rFonts w:ascii="Arial" w:cs="Arial" w:eastAsia="Arial" w:hAnsi="Arial"/>
          <w:sz w:val="18"/>
          <w:szCs w:val="18"/>
          <w:color w:val="auto"/>
        </w:rPr>
      </w:pPr>
    </w:p>
    <w:p>
      <w:pPr>
        <w:ind w:left="540" w:hanging="168"/>
        <w:spacing w:after="0" w:line="277" w:lineRule="auto"/>
        <w:tabs>
          <w:tab w:leader="none" w:pos="535" w:val="left"/>
        </w:tabs>
        <w:numPr>
          <w:ilvl w:val="0"/>
          <w:numId w:val="14"/>
        </w:numPr>
        <w:rPr>
          <w:rFonts w:ascii="Arial" w:cs="Arial" w:eastAsia="Arial" w:hAnsi="Arial"/>
          <w:sz w:val="18"/>
          <w:szCs w:val="18"/>
          <w:color w:val="auto"/>
        </w:rPr>
      </w:pPr>
      <w:r>
        <w:rPr>
          <w:rFonts w:ascii="Arial" w:cs="Arial" w:eastAsia="Arial" w:hAnsi="Arial"/>
          <w:sz w:val="18"/>
          <w:szCs w:val="18"/>
          <w:color w:val="auto"/>
        </w:rPr>
        <w:t>unexpected changes in technical requirements for constructing, modifying or operating exploration and production facilities and/or the inability to timely obtain or maintain necessary permits;</w:t>
      </w:r>
    </w:p>
    <w:p>
      <w:pPr>
        <w:spacing w:after="0" w:line="62" w:lineRule="exact"/>
        <w:rPr>
          <w:rFonts w:ascii="Arial" w:cs="Arial" w:eastAsia="Arial" w:hAnsi="Arial"/>
          <w:sz w:val="18"/>
          <w:szCs w:val="18"/>
          <w:color w:val="auto"/>
        </w:rPr>
      </w:pPr>
    </w:p>
    <w:p>
      <w:pPr>
        <w:ind w:left="520" w:hanging="148"/>
        <w:spacing w:after="0"/>
        <w:tabs>
          <w:tab w:leader="none" w:pos="5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availability and costs of employees and other personnel, drilling rigs, equipment, supplies and other required services;</w:t>
      </w:r>
    </w:p>
    <w:p>
      <w:pPr>
        <w:spacing w:after="0" w:line="117" w:lineRule="exact"/>
        <w:rPr>
          <w:rFonts w:ascii="Arial" w:cs="Arial" w:eastAsia="Arial" w:hAnsi="Arial"/>
          <w:sz w:val="18"/>
          <w:szCs w:val="18"/>
          <w:color w:val="auto"/>
        </w:rPr>
      </w:pPr>
    </w:p>
    <w:p>
      <w:pPr>
        <w:ind w:left="540" w:right="20" w:hanging="168"/>
        <w:spacing w:after="0" w:line="277" w:lineRule="auto"/>
        <w:tabs>
          <w:tab w:leader="none" w:pos="535" w:val="left"/>
        </w:tabs>
        <w:numPr>
          <w:ilvl w:val="0"/>
          <w:numId w:val="14"/>
        </w:numPr>
        <w:rPr>
          <w:rFonts w:ascii="Arial" w:cs="Arial" w:eastAsia="Arial" w:hAnsi="Arial"/>
          <w:sz w:val="18"/>
          <w:szCs w:val="18"/>
          <w:color w:val="auto"/>
        </w:rPr>
      </w:pPr>
      <w:r>
        <w:rPr>
          <w:rFonts w:ascii="Arial" w:cs="Arial" w:eastAsia="Arial" w:hAnsi="Arial"/>
          <w:sz w:val="18"/>
          <w:szCs w:val="18"/>
          <w:color w:val="auto"/>
        </w:rPr>
        <w:t>any limitations on our access to capital or increase in our cost of capital, including as a result of weakness in the oil and gas industry or negative outcomes within commodity and financial markets;</w:t>
      </w:r>
    </w:p>
    <w:p>
      <w:pPr>
        <w:spacing w:after="0" w:line="62" w:lineRule="exact"/>
        <w:rPr>
          <w:rFonts w:ascii="Arial" w:cs="Arial" w:eastAsia="Arial" w:hAnsi="Arial"/>
          <w:sz w:val="18"/>
          <w:szCs w:val="18"/>
          <w:color w:val="auto"/>
        </w:rPr>
      </w:pPr>
    </w:p>
    <w:p>
      <w:pPr>
        <w:ind w:left="540" w:hanging="168"/>
        <w:spacing w:after="0" w:line="277" w:lineRule="auto"/>
        <w:tabs>
          <w:tab w:leader="none" w:pos="535" w:val="left"/>
        </w:tabs>
        <w:numPr>
          <w:ilvl w:val="0"/>
          <w:numId w:val="14"/>
        </w:numPr>
        <w:rPr>
          <w:rFonts w:ascii="Arial" w:cs="Arial" w:eastAsia="Arial" w:hAnsi="Arial"/>
          <w:sz w:val="18"/>
          <w:szCs w:val="18"/>
          <w:color w:val="auto"/>
        </w:rPr>
      </w:pPr>
      <w:r>
        <w:rPr>
          <w:rFonts w:ascii="Arial" w:cs="Arial" w:eastAsia="Arial" w:hAnsi="Arial"/>
          <w:sz w:val="18"/>
          <w:szCs w:val="18"/>
          <w:color w:val="auto"/>
        </w:rPr>
        <w:t>liability resulting from litigation, including exposure to decommissioning liabilities for divested assets in the event the current or future owners are unable to perform, and heightened risks associated with being a general partner of Hess Midstream LP; and</w:t>
      </w:r>
    </w:p>
    <w:p>
      <w:pPr>
        <w:spacing w:after="0" w:line="62" w:lineRule="exact"/>
        <w:rPr>
          <w:rFonts w:ascii="Arial" w:cs="Arial" w:eastAsia="Arial" w:hAnsi="Arial"/>
          <w:sz w:val="18"/>
          <w:szCs w:val="18"/>
          <w:color w:val="auto"/>
        </w:rPr>
      </w:pPr>
    </w:p>
    <w:p>
      <w:pPr>
        <w:ind w:left="540" w:hanging="168"/>
        <w:spacing w:after="0" w:line="277" w:lineRule="auto"/>
        <w:tabs>
          <w:tab w:leader="none" w:pos="535" w:val="left"/>
        </w:tabs>
        <w:numPr>
          <w:ilvl w:val="0"/>
          <w:numId w:val="14"/>
        </w:numPr>
        <w:rPr>
          <w:rFonts w:ascii="Arial" w:cs="Arial" w:eastAsia="Arial" w:hAnsi="Arial"/>
          <w:sz w:val="18"/>
          <w:szCs w:val="18"/>
          <w:color w:val="auto"/>
        </w:rPr>
      </w:pPr>
      <w:r>
        <w:rPr>
          <w:rFonts w:ascii="Arial" w:cs="Arial" w:eastAsia="Arial" w:hAnsi="Arial"/>
          <w:sz w:val="18"/>
          <w:szCs w:val="18"/>
          <w:color w:val="auto"/>
        </w:rPr>
        <w:t xml:space="preserve">other factors described in the section entitled “Risk Factors” in </w:t>
      </w:r>
      <w:r>
        <w:rPr>
          <w:rFonts w:ascii="Arial" w:cs="Arial" w:eastAsia="Arial" w:hAnsi="Arial"/>
          <w:sz w:val="18"/>
          <w:szCs w:val="18"/>
          <w:i w:val="1"/>
          <w:iCs w:val="1"/>
          <w:color w:val="auto"/>
        </w:rPr>
        <w:t>Item 1A—Risk Factors</w:t>
      </w:r>
      <w:r>
        <w:rPr>
          <w:rFonts w:ascii="Arial" w:cs="Arial" w:eastAsia="Arial" w:hAnsi="Arial"/>
          <w:sz w:val="18"/>
          <w:szCs w:val="18"/>
          <w:color w:val="auto"/>
        </w:rPr>
        <w:t xml:space="preserve"> in our Annual Report on Form 10-K for the year ended December 31, 2020 as well as any additional risks described in our other filings with the SEC.</w:t>
      </w:r>
    </w:p>
    <w:p>
      <w:pPr>
        <w:spacing w:after="0" w:line="6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and when made, we believe that our forward-looking statements are reasonable. However, given these risks and uncertainties, caution should be taken not to place undue reliance on any such forward-looking statements since such statements speak only as of the date when made and there can be no assurance that such forward-looking statements will occur and actual results may differ materially from those contained in any forward-looking statement we make. Except as required by law, we undertake no obligation to publicly update or revise any forward-looking statements, whether because of new information, future events or otherwise.</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33" w:name="page34"/>
    <w:bookmarkEnd w:id="33"/>
    <w:p>
      <w:pPr>
        <w:jc w:val="center"/>
        <w:spacing w:after="0"/>
        <w:rPr>
          <w:sz w:val="20"/>
          <w:szCs w:val="20"/>
          <w:color w:val="auto"/>
        </w:rPr>
      </w:pPr>
      <w:r>
        <w:rPr>
          <w:rFonts w:ascii="Arial" w:cs="Arial" w:eastAsia="Arial" w:hAnsi="Arial"/>
          <w:sz w:val="18"/>
          <w:szCs w:val="18"/>
          <w:b w:val="1"/>
          <w:bCs w:val="1"/>
          <w:u w:val="single" w:color="auto"/>
          <w:color w:val="auto"/>
        </w:rPr>
        <w:t>PART I - FINANCIAL INFORMATION (CONT'D.)</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color w:val="auto"/>
        </w:rPr>
        <w:t>The information required by this item is presented under Item 2, “Management’s Discussion and Analysis of Financial Condition and Results of Operations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 Market Risk Disclosures.”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2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Based upon their evaluation of the Corporation’s disclosure controls and procedures (as defined in Exchange Act Rules 13a-15(e) and 15d-15(e)) as of September 30, 2021, John B. Hess, Chief Executive Officer, and John P. Rielly, Chief Financial Officer, concluded that these disclosure controls and procedures were effective as of September 30, 2021.</w:t>
      </w:r>
    </w:p>
    <w:p>
      <w:pPr>
        <w:spacing w:after="0" w:line="76"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There was no change in internal control over financial reporting identified in connection with the evaluation required by paragraph (d) of Rules 13a-15 or 15d-15 in the quarter ended September 30, 2021 that has materially affected, or is reasonably likely to materially affect, internal control over financial reporting.</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34" w:name="page35"/>
    <w:bookmarkEnd w:id="34"/>
    <w:p>
      <w:pPr>
        <w:jc w:val="center"/>
        <w:ind w:right="-19"/>
        <w:spacing w:after="0"/>
        <w:rPr>
          <w:sz w:val="20"/>
          <w:szCs w:val="20"/>
          <w:color w:val="auto"/>
        </w:rPr>
      </w:pPr>
      <w:r>
        <w:rPr>
          <w:rFonts w:ascii="Arial" w:cs="Arial" w:eastAsia="Arial" w:hAnsi="Arial"/>
          <w:sz w:val="18"/>
          <w:szCs w:val="18"/>
          <w:b w:val="1"/>
          <w:bCs w:val="1"/>
          <w:u w:val="single" w:color="auto"/>
          <w:color w:val="auto"/>
        </w:rPr>
        <w:t>PART II – OTHER INFORMATION</w:t>
      </w:r>
    </w:p>
    <w:p>
      <w:pPr>
        <w:spacing w:after="0" w:line="225"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 xml:space="preserve">Information regarding legal proceedings is contained in </w:t>
      </w:r>
      <w:r>
        <w:rPr>
          <w:rFonts w:ascii="Arial" w:cs="Arial" w:eastAsia="Arial" w:hAnsi="Arial"/>
          <w:sz w:val="18"/>
          <w:szCs w:val="18"/>
          <w:i w:val="1"/>
          <w:iCs w:val="1"/>
          <w:color w:val="auto"/>
        </w:rPr>
        <w:t>Note 11, Guarantees and Contingencies</w:t>
      </w:r>
      <w:r>
        <w:rPr>
          <w:rFonts w:ascii="Arial" w:cs="Arial" w:eastAsia="Arial" w:hAnsi="Arial"/>
          <w:sz w:val="18"/>
          <w:szCs w:val="18"/>
          <w:color w:val="auto"/>
        </w:rPr>
        <w:t xml:space="preserve"> in the </w:t>
      </w:r>
      <w:r>
        <w:rPr>
          <w:rFonts w:ascii="Arial" w:cs="Arial" w:eastAsia="Arial" w:hAnsi="Arial"/>
          <w:sz w:val="18"/>
          <w:szCs w:val="18"/>
          <w:i w:val="1"/>
          <w:iCs w:val="1"/>
          <w:color w:val="auto"/>
        </w:rPr>
        <w:t>Notes to Consolidated Financial Statements</w:t>
      </w:r>
      <w:r>
        <w:rPr>
          <w:rFonts w:ascii="Arial" w:cs="Arial" w:eastAsia="Arial" w:hAnsi="Arial"/>
          <w:sz w:val="18"/>
          <w:szCs w:val="18"/>
          <w:color w:val="auto"/>
        </w:rPr>
        <w:t xml:space="preserve"> and is incorporated herein by reference.</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134" w:right="359" w:bottom="1440" w:gutter="0" w:footer="0" w:header="0"/>
        </w:sectPr>
      </w:pPr>
    </w:p>
    <w:bookmarkStart w:id="35" w:name="page36"/>
    <w:bookmarkEnd w:id="35"/>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300" w:type="dxa"/>
            <w:vAlign w:val="bottom"/>
          </w:tcPr>
          <w:p>
            <w:pPr>
              <w:spacing w:after="0"/>
              <w:rPr>
                <w:sz w:val="17"/>
                <w:szCs w:val="17"/>
                <w:color w:val="auto"/>
              </w:rPr>
            </w:pPr>
          </w:p>
        </w:tc>
        <w:tc>
          <w:tcPr>
            <w:tcW w:w="7500" w:type="dxa"/>
            <w:vAlign w:val="bottom"/>
            <w:gridSpan w:val="9"/>
          </w:tcPr>
          <w:p>
            <w:pPr>
              <w:spacing w:after="0"/>
              <w:rPr>
                <w:sz w:val="20"/>
                <w:szCs w:val="20"/>
                <w:color w:val="auto"/>
              </w:rPr>
            </w:pPr>
            <w:r>
              <w:rPr>
                <w:rFonts w:ascii="Arial" w:cs="Arial" w:eastAsia="Arial" w:hAnsi="Arial"/>
                <w:sz w:val="18"/>
                <w:szCs w:val="18"/>
                <w:b w:val="1"/>
                <w:bCs w:val="1"/>
                <w:color w:val="auto"/>
              </w:rPr>
              <w:t>PART II – OTHER INFORMATION (CONT'D)</w:t>
            </w:r>
          </w:p>
        </w:tc>
      </w:tr>
      <w:tr>
        <w:trPr>
          <w:trHeight w:val="453"/>
        </w:trPr>
        <w:tc>
          <w:tcPr>
            <w:tcW w:w="1440" w:type="dxa"/>
            <w:vAlign w:val="bottom"/>
            <w:gridSpan w:val="5"/>
          </w:tcPr>
          <w:p>
            <w:pPr>
              <w:spacing w:after="0"/>
              <w:rPr>
                <w:sz w:val="20"/>
                <w:szCs w:val="20"/>
                <w:color w:val="auto"/>
              </w:rPr>
            </w:pPr>
            <w:r>
              <w:rPr>
                <w:rFonts w:ascii="Arial" w:cs="Arial" w:eastAsia="Arial" w:hAnsi="Arial"/>
                <w:sz w:val="18"/>
                <w:szCs w:val="18"/>
                <w:b w:val="1"/>
                <w:bCs w:val="1"/>
                <w:color w:val="auto"/>
                <w:w w:val="99"/>
              </w:rPr>
              <w:t>Item 6.  Exhibits.</w:t>
            </w:r>
          </w:p>
        </w:tc>
        <w:tc>
          <w:tcPr>
            <w:tcW w:w="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960" w:type="dxa"/>
            <w:vAlign w:val="bottom"/>
            <w:tcBorders>
              <w:top w:val="single" w:sz="8" w:color="auto"/>
            </w:tcBorders>
          </w:tcPr>
          <w:p>
            <w:pPr>
              <w:spacing w:after="0"/>
              <w:rPr>
                <w:sz w:val="24"/>
                <w:szCs w:val="24"/>
                <w:color w:val="auto"/>
              </w:rPr>
            </w:pPr>
          </w:p>
        </w:tc>
        <w:tc>
          <w:tcPr>
            <w:tcW w:w="1060" w:type="dxa"/>
            <w:vAlign w:val="bottom"/>
          </w:tcPr>
          <w:p>
            <w:pPr>
              <w:spacing w:after="0"/>
              <w:rPr>
                <w:sz w:val="24"/>
                <w:szCs w:val="24"/>
                <w:color w:val="auto"/>
              </w:rPr>
            </w:pPr>
          </w:p>
        </w:tc>
        <w:tc>
          <w:tcPr>
            <w:tcW w:w="2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11"/>
        </w:trPr>
        <w:tc>
          <w:tcPr>
            <w:tcW w:w="20" w:type="dxa"/>
            <w:vAlign w:val="bottom"/>
          </w:tcPr>
          <w:p>
            <w:pPr>
              <w:spacing w:after="0"/>
              <w:rPr>
                <w:sz w:val="24"/>
                <w:szCs w:val="24"/>
                <w:color w:val="auto"/>
              </w:rPr>
            </w:pPr>
          </w:p>
        </w:tc>
        <w:tc>
          <w:tcPr>
            <w:tcW w:w="1420" w:type="dxa"/>
            <w:vAlign w:val="bottom"/>
            <w:gridSpan w:val="4"/>
          </w:tcPr>
          <w:p>
            <w:pPr>
              <w:spacing w:after="0"/>
              <w:rPr>
                <w:sz w:val="20"/>
                <w:szCs w:val="20"/>
                <w:color w:val="auto"/>
              </w:rPr>
            </w:pPr>
            <w:r>
              <w:rPr>
                <w:rFonts w:ascii="Arial" w:cs="Arial" w:eastAsia="Arial" w:hAnsi="Arial"/>
                <w:sz w:val="18"/>
                <w:szCs w:val="18"/>
                <w:color w:val="auto"/>
              </w:rPr>
              <w:t>Exhibits</w:t>
            </w:r>
          </w:p>
        </w:tc>
        <w:tc>
          <w:tcPr>
            <w:tcW w:w="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9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96"/>
        </w:trPr>
        <w:tc>
          <w:tcPr>
            <w:tcW w:w="20" w:type="dxa"/>
            <w:vAlign w:val="bottom"/>
          </w:tcPr>
          <w:p>
            <w:pPr>
              <w:spacing w:after="0"/>
              <w:rPr>
                <w:sz w:val="17"/>
                <w:szCs w:val="17"/>
                <w:color w:val="auto"/>
              </w:rPr>
            </w:pPr>
          </w:p>
        </w:tc>
        <w:tc>
          <w:tcPr>
            <w:tcW w:w="360" w:type="dxa"/>
            <w:vAlign w:val="bottom"/>
            <w:tcBorders>
              <w:top w:val="single" w:sz="8" w:color="auto"/>
            </w:tcBorders>
            <w:gridSpan w:val="2"/>
          </w:tcPr>
          <w:p>
            <w:pPr>
              <w:spacing w:after="0"/>
              <w:rPr>
                <w:rFonts w:ascii="Arial" w:cs="Arial" w:eastAsia="Arial" w:hAnsi="Arial"/>
                <w:sz w:val="16"/>
                <w:szCs w:val="16"/>
                <w:color w:val="0000FF"/>
              </w:rPr>
            </w:pPr>
            <w:hyperlink r:id="rId52">
              <w:r>
                <w:rPr>
                  <w:rFonts w:ascii="Arial" w:cs="Arial" w:eastAsia="Arial" w:hAnsi="Arial"/>
                  <w:sz w:val="16"/>
                  <w:szCs w:val="16"/>
                  <w:color w:val="0000FF"/>
                </w:rPr>
                <w:t>4(1)</w:t>
              </w:r>
            </w:hyperlink>
          </w:p>
        </w:tc>
        <w:tc>
          <w:tcPr>
            <w:tcW w:w="240" w:type="dxa"/>
            <w:vAlign w:val="bottom"/>
            <w:tcBorders>
              <w:top w:val="single" w:sz="8" w:color="auto"/>
            </w:tcBorders>
          </w:tcPr>
          <w:p>
            <w:pPr>
              <w:spacing w:after="0"/>
              <w:rPr>
                <w:sz w:val="17"/>
                <w:szCs w:val="17"/>
                <w:color w:val="auto"/>
              </w:rPr>
            </w:pPr>
          </w:p>
        </w:tc>
        <w:tc>
          <w:tcPr>
            <w:tcW w:w="820" w:type="dxa"/>
            <w:vAlign w:val="bottom"/>
          </w:tcPr>
          <w:p>
            <w:pPr>
              <w:spacing w:after="0"/>
              <w:rPr>
                <w:sz w:val="17"/>
                <w:szCs w:val="17"/>
                <w:color w:val="auto"/>
              </w:rPr>
            </w:pPr>
          </w:p>
        </w:tc>
        <w:tc>
          <w:tcPr>
            <w:tcW w:w="9820" w:type="dxa"/>
            <w:vAlign w:val="bottom"/>
            <w:gridSpan w:val="11"/>
          </w:tcPr>
          <w:p>
            <w:pPr>
              <w:spacing w:after="0"/>
              <w:rPr>
                <w:rFonts w:ascii="Arial" w:cs="Arial" w:eastAsia="Arial" w:hAnsi="Arial"/>
                <w:sz w:val="16"/>
                <w:szCs w:val="16"/>
                <w:color w:val="0000FF"/>
                <w:w w:val="92"/>
              </w:rPr>
            </w:pPr>
            <w:hyperlink r:id="rId52">
              <w:r>
                <w:rPr>
                  <w:rFonts w:ascii="Arial" w:cs="Arial" w:eastAsia="Arial" w:hAnsi="Arial"/>
                  <w:sz w:val="16"/>
                  <w:szCs w:val="16"/>
                  <w:color w:val="0000FF"/>
                  <w:w w:val="92"/>
                </w:rPr>
                <w:t>Amendment No. 2, dated as of October 4, 2021 to the Term Loan Agreement dated as of March 16, 2020, as amended, among Hess Corporation, the</w:t>
              </w:r>
            </w:hyperlink>
          </w:p>
        </w:tc>
      </w:tr>
      <w:tr>
        <w:trPr>
          <w:trHeight w:val="156"/>
        </w:trPr>
        <w:tc>
          <w:tcPr>
            <w:tcW w:w="20" w:type="dxa"/>
            <w:vAlign w:val="bottom"/>
          </w:tcPr>
          <w:p>
            <w:pPr>
              <w:spacing w:after="0"/>
              <w:rPr>
                <w:sz w:val="13"/>
                <w:szCs w:val="13"/>
                <w:color w:val="auto"/>
              </w:rPr>
            </w:pPr>
          </w:p>
        </w:tc>
        <w:tc>
          <w:tcPr>
            <w:tcW w:w="280" w:type="dxa"/>
            <w:vAlign w:val="bottom"/>
            <w:tcBorders>
              <w:top w:val="single" w:sz="8" w:color="0000FF"/>
            </w:tcBorders>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9780" w:type="dxa"/>
            <w:vAlign w:val="bottom"/>
            <w:tcBorders>
              <w:top w:val="single" w:sz="8" w:color="0000FF"/>
            </w:tcBorders>
            <w:gridSpan w:val="9"/>
          </w:tcPr>
          <w:p>
            <w:pPr>
              <w:spacing w:after="0" w:line="155" w:lineRule="exact"/>
              <w:rPr>
                <w:rFonts w:ascii="Arial" w:cs="Arial" w:eastAsia="Arial" w:hAnsi="Arial"/>
                <w:sz w:val="16"/>
                <w:szCs w:val="16"/>
                <w:color w:val="0000FF"/>
                <w:w w:val="97"/>
              </w:rPr>
            </w:pPr>
            <w:hyperlink r:id="rId52">
              <w:r>
                <w:rPr>
                  <w:rFonts w:ascii="Arial" w:cs="Arial" w:eastAsia="Arial" w:hAnsi="Arial"/>
                  <w:sz w:val="16"/>
                  <w:szCs w:val="16"/>
                  <w:color w:val="0000FF"/>
                  <w:w w:val="97"/>
                </w:rPr>
                <w:t>lenders party thereto, and JPMorgan Chase Bank, N.A., as administrative agent incorporated by reference to Exhibit 10(1) of Form 8-K of the</w:t>
              </w:r>
            </w:hyperlink>
          </w:p>
        </w:tc>
        <w:tc>
          <w:tcPr>
            <w:tcW w:w="20" w:type="dxa"/>
            <w:vAlign w:val="bottom"/>
          </w:tcPr>
          <w:p>
            <w:pPr>
              <w:spacing w:after="0"/>
              <w:rPr>
                <w:sz w:val="13"/>
                <w:szCs w:val="13"/>
                <w:color w:val="auto"/>
              </w:rPr>
            </w:pPr>
          </w:p>
        </w:tc>
      </w:tr>
      <w:tr>
        <w:trPr>
          <w:trHeight w:val="155"/>
        </w:trPr>
        <w:tc>
          <w:tcPr>
            <w:tcW w:w="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380" w:type="dxa"/>
            <w:vAlign w:val="bottom"/>
            <w:tcBorders>
              <w:top w:val="single" w:sz="8" w:color="0000FF"/>
              <w:bottom w:val="single" w:sz="8" w:color="0000FF"/>
            </w:tcBorders>
            <w:gridSpan w:val="3"/>
          </w:tcPr>
          <w:p>
            <w:pPr>
              <w:spacing w:after="0" w:line="155" w:lineRule="exact"/>
              <w:rPr>
                <w:rFonts w:ascii="Arial" w:cs="Arial" w:eastAsia="Arial" w:hAnsi="Arial"/>
                <w:sz w:val="16"/>
                <w:szCs w:val="16"/>
                <w:color w:val="0000FF"/>
                <w:w w:val="91"/>
              </w:rPr>
            </w:pPr>
            <w:hyperlink r:id="rId52">
              <w:r>
                <w:rPr>
                  <w:rFonts w:ascii="Arial" w:cs="Arial" w:eastAsia="Arial" w:hAnsi="Arial"/>
                  <w:sz w:val="16"/>
                  <w:szCs w:val="16"/>
                  <w:color w:val="0000FF"/>
                  <w:w w:val="91"/>
                </w:rPr>
                <w:t>Registrant, filed on October 6, 2021.</w:t>
              </w:r>
            </w:hyperlink>
          </w:p>
        </w:tc>
        <w:tc>
          <w:tcPr>
            <w:tcW w:w="7400" w:type="dxa"/>
            <w:vAlign w:val="bottom"/>
            <w:tcBorders>
              <w:top w:val="single" w:sz="8" w:color="0000FF"/>
            </w:tcBorders>
            <w:gridSpan w:val="6"/>
          </w:tcPr>
          <w:p>
            <w:pPr>
              <w:spacing w:after="0"/>
              <w:rPr>
                <w:sz w:val="13"/>
                <w:szCs w:val="13"/>
                <w:color w:val="auto"/>
              </w:rPr>
            </w:pPr>
          </w:p>
        </w:tc>
        <w:tc>
          <w:tcPr>
            <w:tcW w:w="40" w:type="dxa"/>
            <w:vAlign w:val="bottom"/>
            <w:gridSpan w:val="2"/>
          </w:tcPr>
          <w:p>
            <w:pPr>
              <w:spacing w:after="0"/>
              <w:rPr>
                <w:sz w:val="13"/>
                <w:szCs w:val="13"/>
                <w:color w:val="auto"/>
              </w:rPr>
            </w:pPr>
          </w:p>
        </w:tc>
      </w:tr>
      <w:tr>
        <w:trPr>
          <w:trHeight w:val="210"/>
        </w:trPr>
        <w:tc>
          <w:tcPr>
            <w:tcW w:w="20" w:type="dxa"/>
            <w:vAlign w:val="bottom"/>
          </w:tcPr>
          <w:p>
            <w:pPr>
              <w:spacing w:after="0"/>
              <w:rPr>
                <w:sz w:val="18"/>
                <w:szCs w:val="18"/>
                <w:color w:val="auto"/>
              </w:rPr>
            </w:pPr>
          </w:p>
        </w:tc>
        <w:tc>
          <w:tcPr>
            <w:tcW w:w="360" w:type="dxa"/>
            <w:vAlign w:val="bottom"/>
            <w:gridSpan w:val="2"/>
          </w:tcPr>
          <w:p>
            <w:pPr>
              <w:spacing w:after="0"/>
              <w:rPr>
                <w:rFonts w:ascii="Arial" w:cs="Arial" w:eastAsia="Arial" w:hAnsi="Arial"/>
                <w:sz w:val="16"/>
                <w:szCs w:val="16"/>
                <w:color w:val="0000FF"/>
                <w:w w:val="90"/>
              </w:rPr>
            </w:pPr>
            <w:hyperlink w:anchor="page38">
              <w:r>
                <w:rPr>
                  <w:rFonts w:ascii="Arial" w:cs="Arial" w:eastAsia="Arial" w:hAnsi="Arial"/>
                  <w:sz w:val="16"/>
                  <w:szCs w:val="16"/>
                  <w:color w:val="0000FF"/>
                  <w:w w:val="90"/>
                </w:rPr>
                <w:t>31(1)</w:t>
              </w:r>
            </w:hyperlink>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9820" w:type="dxa"/>
            <w:vAlign w:val="bottom"/>
            <w:gridSpan w:val="11"/>
          </w:tcPr>
          <w:p>
            <w:pPr>
              <w:spacing w:after="0"/>
              <w:rPr>
                <w:rFonts w:ascii="Arial" w:cs="Arial" w:eastAsia="Arial" w:hAnsi="Arial"/>
                <w:sz w:val="16"/>
                <w:szCs w:val="16"/>
                <w:color w:val="0000FF"/>
              </w:rPr>
            </w:pPr>
            <w:hyperlink w:anchor="page38">
              <w:r>
                <w:rPr>
                  <w:rFonts w:ascii="Arial" w:cs="Arial" w:eastAsia="Arial" w:hAnsi="Arial"/>
                  <w:sz w:val="16"/>
                  <w:szCs w:val="16"/>
                  <w:color w:val="0000FF"/>
                </w:rPr>
                <w:t>Certification required by Rule 13a-14(a) (17 CFR 240.13a-14(a)) or Rule 15d-14(a) (17 CFR 240.15d-14(a)).</w:t>
              </w:r>
            </w:hyperlink>
          </w:p>
        </w:tc>
      </w:tr>
      <w:tr>
        <w:trPr>
          <w:trHeight w:val="20"/>
        </w:trPr>
        <w:tc>
          <w:tcPr>
            <w:tcW w:w="20" w:type="dxa"/>
            <w:vAlign w:val="bottom"/>
          </w:tcPr>
          <w:p>
            <w:pPr>
              <w:spacing w:after="0" w:line="20" w:lineRule="exact"/>
              <w:rPr>
                <w:sz w:val="1"/>
                <w:szCs w:val="1"/>
                <w:color w:val="auto"/>
              </w:rPr>
            </w:pPr>
          </w:p>
        </w:tc>
        <w:tc>
          <w:tcPr>
            <w:tcW w:w="360" w:type="dxa"/>
            <w:vAlign w:val="bottom"/>
            <w:gridSpan w:val="2"/>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40" w:type="dxa"/>
            <w:vAlign w:val="bottom"/>
            <w:gridSpan w:val="3"/>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20" w:type="dxa"/>
            <w:vAlign w:val="bottom"/>
            <w:gridSpan w:val="2"/>
            <w:shd w:val="clear" w:color="auto" w:fill="0000FF"/>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360" w:type="dxa"/>
            <w:vAlign w:val="bottom"/>
            <w:gridSpan w:val="2"/>
          </w:tcPr>
          <w:p>
            <w:pPr>
              <w:spacing w:after="0"/>
              <w:rPr>
                <w:rFonts w:ascii="Arial" w:cs="Arial" w:eastAsia="Arial" w:hAnsi="Arial"/>
                <w:sz w:val="16"/>
                <w:szCs w:val="16"/>
                <w:color w:val="0000FF"/>
                <w:w w:val="90"/>
              </w:rPr>
            </w:pPr>
            <w:hyperlink w:anchor="page39">
              <w:r>
                <w:rPr>
                  <w:rFonts w:ascii="Arial" w:cs="Arial" w:eastAsia="Arial" w:hAnsi="Arial"/>
                  <w:sz w:val="16"/>
                  <w:szCs w:val="16"/>
                  <w:color w:val="0000FF"/>
                  <w:w w:val="90"/>
                </w:rPr>
                <w:t>31(2)</w:t>
              </w:r>
            </w:hyperlink>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9820" w:type="dxa"/>
            <w:vAlign w:val="bottom"/>
            <w:gridSpan w:val="11"/>
          </w:tcPr>
          <w:p>
            <w:pPr>
              <w:spacing w:after="0"/>
              <w:rPr>
                <w:rFonts w:ascii="Arial" w:cs="Arial" w:eastAsia="Arial" w:hAnsi="Arial"/>
                <w:sz w:val="16"/>
                <w:szCs w:val="16"/>
                <w:color w:val="0000FF"/>
              </w:rPr>
            </w:pPr>
            <w:hyperlink w:anchor="page39">
              <w:r>
                <w:rPr>
                  <w:rFonts w:ascii="Arial" w:cs="Arial" w:eastAsia="Arial" w:hAnsi="Arial"/>
                  <w:sz w:val="16"/>
                  <w:szCs w:val="16"/>
                  <w:color w:val="0000FF"/>
                </w:rPr>
                <w:t>Certification required by Rule 13a-14(a) (17 CFR 240.13a-14(a)) or Rule 15d-14(a) (17 CFR 240.15d-14(a)).</w:t>
              </w:r>
            </w:hyperlink>
          </w:p>
        </w:tc>
      </w:tr>
      <w:tr>
        <w:trPr>
          <w:trHeight w:val="20"/>
        </w:trPr>
        <w:tc>
          <w:tcPr>
            <w:tcW w:w="20" w:type="dxa"/>
            <w:vAlign w:val="bottom"/>
          </w:tcPr>
          <w:p>
            <w:pPr>
              <w:spacing w:after="0" w:line="20" w:lineRule="exact"/>
              <w:rPr>
                <w:sz w:val="1"/>
                <w:szCs w:val="1"/>
                <w:color w:val="auto"/>
              </w:rPr>
            </w:pPr>
          </w:p>
        </w:tc>
        <w:tc>
          <w:tcPr>
            <w:tcW w:w="360" w:type="dxa"/>
            <w:vAlign w:val="bottom"/>
            <w:gridSpan w:val="2"/>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40" w:type="dxa"/>
            <w:vAlign w:val="bottom"/>
            <w:gridSpan w:val="3"/>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20" w:type="dxa"/>
            <w:vAlign w:val="bottom"/>
            <w:gridSpan w:val="2"/>
            <w:shd w:val="clear" w:color="auto" w:fill="0000FF"/>
          </w:tcPr>
          <w:p>
            <w:pPr>
              <w:spacing w:after="0" w:line="20" w:lineRule="exact"/>
              <w:rPr>
                <w:sz w:val="1"/>
                <w:szCs w:val="1"/>
                <w:color w:val="auto"/>
              </w:rPr>
            </w:pPr>
          </w:p>
        </w:tc>
        <w:tc>
          <w:tcPr>
            <w:tcW w:w="260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360" w:type="dxa"/>
            <w:vAlign w:val="bottom"/>
            <w:gridSpan w:val="2"/>
          </w:tcPr>
          <w:p>
            <w:pPr>
              <w:spacing w:after="0"/>
              <w:rPr>
                <w:rFonts w:ascii="Arial" w:cs="Arial" w:eastAsia="Arial" w:hAnsi="Arial"/>
                <w:sz w:val="16"/>
                <w:szCs w:val="16"/>
                <w:color w:val="0000FF"/>
                <w:w w:val="90"/>
              </w:rPr>
            </w:pPr>
            <w:hyperlink w:anchor="page40">
              <w:r>
                <w:rPr>
                  <w:rFonts w:ascii="Arial" w:cs="Arial" w:eastAsia="Arial" w:hAnsi="Arial"/>
                  <w:sz w:val="16"/>
                  <w:szCs w:val="16"/>
                  <w:color w:val="0000FF"/>
                  <w:w w:val="90"/>
                </w:rPr>
                <w:t>32(1)</w:t>
              </w:r>
            </w:hyperlink>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9820" w:type="dxa"/>
            <w:vAlign w:val="bottom"/>
            <w:gridSpan w:val="11"/>
          </w:tcPr>
          <w:p>
            <w:pPr>
              <w:spacing w:after="0"/>
              <w:rPr>
                <w:rFonts w:ascii="Arial" w:cs="Arial" w:eastAsia="Arial" w:hAnsi="Arial"/>
                <w:sz w:val="16"/>
                <w:szCs w:val="16"/>
                <w:color w:val="0000FF"/>
                <w:w w:val="93"/>
              </w:rPr>
            </w:pPr>
            <w:hyperlink w:anchor="page40">
              <w:r>
                <w:rPr>
                  <w:rFonts w:ascii="Arial" w:cs="Arial" w:eastAsia="Arial" w:hAnsi="Arial"/>
                  <w:sz w:val="16"/>
                  <w:szCs w:val="16"/>
                  <w:color w:val="0000FF"/>
                  <w:w w:val="93"/>
                </w:rPr>
                <w:t>Certification required by Rule 13a-14(b) (17 CFR 240.13a-14(b)) or Rule 15d-14(b) (17 CFR 240.15d-14(b)) and Section 1350 of Chapter 63 of Title</w:t>
              </w:r>
            </w:hyperlink>
          </w:p>
        </w:tc>
      </w:tr>
      <w:tr>
        <w:trPr>
          <w:trHeight w:val="142"/>
        </w:trPr>
        <w:tc>
          <w:tcPr>
            <w:tcW w:w="20" w:type="dxa"/>
            <w:vAlign w:val="bottom"/>
          </w:tcPr>
          <w:p>
            <w:pPr>
              <w:spacing w:after="0"/>
              <w:rPr>
                <w:sz w:val="12"/>
                <w:szCs w:val="12"/>
                <w:color w:val="auto"/>
              </w:rPr>
            </w:pPr>
          </w:p>
        </w:tc>
        <w:tc>
          <w:tcPr>
            <w:tcW w:w="280" w:type="dxa"/>
            <w:vAlign w:val="bottom"/>
            <w:tcBorders>
              <w:top w:val="single" w:sz="8" w:color="0000FF"/>
            </w:tcBorders>
          </w:tcPr>
          <w:p>
            <w:pPr>
              <w:spacing w:after="0"/>
              <w:rPr>
                <w:sz w:val="12"/>
                <w:szCs w:val="12"/>
                <w:color w:val="auto"/>
              </w:rPr>
            </w:pPr>
          </w:p>
        </w:tc>
        <w:tc>
          <w:tcPr>
            <w:tcW w:w="80" w:type="dxa"/>
            <w:vAlign w:val="bottom"/>
            <w:tcBorders>
              <w:top w:val="single" w:sz="8" w:color="0000FF"/>
            </w:tcBorders>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0" w:type="dxa"/>
            <w:vAlign w:val="bottom"/>
            <w:tcBorders>
              <w:bottom w:val="single" w:sz="8" w:color="0000FF"/>
            </w:tcBorders>
          </w:tcPr>
          <w:p>
            <w:pPr>
              <w:spacing w:after="0"/>
              <w:rPr>
                <w:sz w:val="12"/>
                <w:szCs w:val="12"/>
                <w:color w:val="auto"/>
              </w:rPr>
            </w:pPr>
          </w:p>
        </w:tc>
        <w:tc>
          <w:tcPr>
            <w:tcW w:w="3060" w:type="dxa"/>
            <w:vAlign w:val="bottom"/>
            <w:tcBorders>
              <w:top w:val="single" w:sz="8" w:color="0000FF"/>
              <w:bottom w:val="single" w:sz="8" w:color="0000FF"/>
            </w:tcBorders>
            <w:gridSpan w:val="4"/>
          </w:tcPr>
          <w:p>
            <w:pPr>
              <w:spacing w:after="0" w:line="142" w:lineRule="exact"/>
              <w:rPr>
                <w:rFonts w:ascii="Arial" w:cs="Arial" w:eastAsia="Arial" w:hAnsi="Arial"/>
                <w:sz w:val="16"/>
                <w:szCs w:val="16"/>
                <w:color w:val="0000FF"/>
                <w:w w:val="90"/>
              </w:rPr>
            </w:pPr>
            <w:hyperlink w:anchor="page40">
              <w:r>
                <w:rPr>
                  <w:rFonts w:ascii="Arial" w:cs="Arial" w:eastAsia="Arial" w:hAnsi="Arial"/>
                  <w:sz w:val="16"/>
                  <w:szCs w:val="16"/>
                  <w:color w:val="0000FF"/>
                  <w:w w:val="90"/>
                </w:rPr>
                <w:t>18 of the United States Code (18 U.S.C. 1350).</w:t>
              </w:r>
            </w:hyperlink>
          </w:p>
        </w:tc>
        <w:tc>
          <w:tcPr>
            <w:tcW w:w="6620" w:type="dxa"/>
            <w:vAlign w:val="bottom"/>
            <w:tcBorders>
              <w:top w:val="single" w:sz="8" w:color="0000FF"/>
            </w:tcBorders>
            <w:gridSpan w:val="3"/>
          </w:tcPr>
          <w:p>
            <w:pPr>
              <w:spacing w:after="0"/>
              <w:rPr>
                <w:sz w:val="12"/>
                <w:szCs w:val="12"/>
                <w:color w:val="auto"/>
              </w:rPr>
            </w:pPr>
          </w:p>
        </w:tc>
        <w:tc>
          <w:tcPr>
            <w:tcW w:w="120" w:type="dxa"/>
            <w:vAlign w:val="bottom"/>
            <w:gridSpan w:val="3"/>
          </w:tcPr>
          <w:p>
            <w:pPr>
              <w:spacing w:after="0"/>
              <w:rPr>
                <w:sz w:val="12"/>
                <w:szCs w:val="12"/>
                <w:color w:val="auto"/>
              </w:rPr>
            </w:pPr>
          </w:p>
        </w:tc>
      </w:tr>
      <w:tr>
        <w:trPr>
          <w:trHeight w:val="196"/>
        </w:trPr>
        <w:tc>
          <w:tcPr>
            <w:tcW w:w="380" w:type="dxa"/>
            <w:vAlign w:val="bottom"/>
            <w:gridSpan w:val="3"/>
          </w:tcPr>
          <w:p>
            <w:pPr>
              <w:ind w:left="20"/>
              <w:spacing w:after="0"/>
              <w:rPr>
                <w:rFonts w:ascii="Arial" w:cs="Arial" w:eastAsia="Arial" w:hAnsi="Arial"/>
                <w:sz w:val="16"/>
                <w:szCs w:val="16"/>
                <w:color w:val="0000FF"/>
                <w:w w:val="90"/>
              </w:rPr>
            </w:pPr>
            <w:hyperlink w:anchor="page41">
              <w:r>
                <w:rPr>
                  <w:rFonts w:ascii="Arial" w:cs="Arial" w:eastAsia="Arial" w:hAnsi="Arial"/>
                  <w:sz w:val="16"/>
                  <w:szCs w:val="16"/>
                  <w:color w:val="0000FF"/>
                  <w:w w:val="90"/>
                </w:rPr>
                <w:t>32(2)</w:t>
              </w:r>
            </w:hyperlink>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9820" w:type="dxa"/>
            <w:vAlign w:val="bottom"/>
            <w:gridSpan w:val="11"/>
          </w:tcPr>
          <w:p>
            <w:pPr>
              <w:spacing w:after="0"/>
              <w:rPr>
                <w:rFonts w:ascii="Arial" w:cs="Arial" w:eastAsia="Arial" w:hAnsi="Arial"/>
                <w:sz w:val="16"/>
                <w:szCs w:val="16"/>
                <w:color w:val="0000FF"/>
                <w:w w:val="93"/>
              </w:rPr>
            </w:pPr>
            <w:hyperlink w:anchor="page41">
              <w:r>
                <w:rPr>
                  <w:rFonts w:ascii="Arial" w:cs="Arial" w:eastAsia="Arial" w:hAnsi="Arial"/>
                  <w:sz w:val="16"/>
                  <w:szCs w:val="16"/>
                  <w:color w:val="0000FF"/>
                  <w:w w:val="93"/>
                </w:rPr>
                <w:t>Certification required by Rule 13a-14(b) (17 CFR 240.13a-14(b)) or Rule 15d-14(b) (17 CFR 240.15d-14(b)) and Section 1350 of Chapter 63 of Title</w:t>
              </w:r>
            </w:hyperlink>
          </w:p>
        </w:tc>
      </w:tr>
      <w:tr>
        <w:trPr>
          <w:trHeight w:val="142"/>
        </w:trPr>
        <w:tc>
          <w:tcPr>
            <w:tcW w:w="20" w:type="dxa"/>
            <w:vAlign w:val="bottom"/>
          </w:tcPr>
          <w:p>
            <w:pPr>
              <w:spacing w:after="0"/>
              <w:rPr>
                <w:sz w:val="12"/>
                <w:szCs w:val="12"/>
                <w:color w:val="auto"/>
              </w:rPr>
            </w:pPr>
          </w:p>
        </w:tc>
        <w:tc>
          <w:tcPr>
            <w:tcW w:w="280" w:type="dxa"/>
            <w:vAlign w:val="bottom"/>
            <w:tcBorders>
              <w:top w:val="single" w:sz="8" w:color="0000FF"/>
            </w:tcBorders>
          </w:tcPr>
          <w:p>
            <w:pPr>
              <w:spacing w:after="0"/>
              <w:rPr>
                <w:sz w:val="12"/>
                <w:szCs w:val="12"/>
                <w:color w:val="auto"/>
              </w:rPr>
            </w:pPr>
          </w:p>
        </w:tc>
        <w:tc>
          <w:tcPr>
            <w:tcW w:w="80" w:type="dxa"/>
            <w:vAlign w:val="bottom"/>
            <w:tcBorders>
              <w:top w:val="single" w:sz="8" w:color="0000FF"/>
            </w:tcBorders>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680" w:type="dxa"/>
            <w:vAlign w:val="bottom"/>
            <w:tcBorders>
              <w:top w:val="single" w:sz="8" w:color="0000FF"/>
            </w:tcBorders>
            <w:gridSpan w:val="7"/>
          </w:tcPr>
          <w:p>
            <w:pPr>
              <w:spacing w:after="0" w:line="142" w:lineRule="exact"/>
              <w:rPr>
                <w:rFonts w:ascii="Arial" w:cs="Arial" w:eastAsia="Arial" w:hAnsi="Arial"/>
                <w:sz w:val="16"/>
                <w:szCs w:val="16"/>
                <w:color w:val="0000FF"/>
              </w:rPr>
            </w:pPr>
            <w:hyperlink w:anchor="page41">
              <w:r>
                <w:rPr>
                  <w:rFonts w:ascii="Arial" w:cs="Arial" w:eastAsia="Arial" w:hAnsi="Arial"/>
                  <w:sz w:val="16"/>
                  <w:szCs w:val="16"/>
                  <w:color w:val="0000FF"/>
                </w:rPr>
                <w:t>18 of the United States Code (18 U.S.C. 1350).</w:t>
              </w:r>
            </w:hyperlink>
          </w:p>
        </w:tc>
        <w:tc>
          <w:tcPr>
            <w:tcW w:w="120" w:type="dxa"/>
            <w:vAlign w:val="bottom"/>
            <w:gridSpan w:val="3"/>
          </w:tcPr>
          <w:p>
            <w:pPr>
              <w:spacing w:after="0"/>
              <w:rPr>
                <w:sz w:val="12"/>
                <w:szCs w:val="12"/>
                <w:color w:val="auto"/>
              </w:rPr>
            </w:pPr>
          </w:p>
        </w:tc>
      </w:tr>
      <w:tr>
        <w:trPr>
          <w:trHeight w:val="20"/>
        </w:trPr>
        <w:tc>
          <w:tcPr>
            <w:tcW w:w="20" w:type="dxa"/>
            <w:vAlign w:val="bottom"/>
          </w:tcPr>
          <w:p>
            <w:pPr>
              <w:spacing w:after="0" w:line="20" w:lineRule="exact"/>
              <w:rPr>
                <w:sz w:val="1"/>
                <w:szCs w:val="1"/>
                <w:color w:val="auto"/>
              </w:rPr>
            </w:pPr>
          </w:p>
        </w:tc>
        <w:tc>
          <w:tcPr>
            <w:tcW w:w="1420" w:type="dxa"/>
            <w:vAlign w:val="bottom"/>
            <w:gridSpan w:val="4"/>
          </w:tcPr>
          <w:p>
            <w:pPr>
              <w:spacing w:after="0" w:line="20" w:lineRule="exact"/>
              <w:rPr>
                <w:sz w:val="1"/>
                <w:szCs w:val="1"/>
                <w:color w:val="auto"/>
              </w:rPr>
            </w:pPr>
          </w:p>
        </w:tc>
        <w:tc>
          <w:tcPr>
            <w:tcW w:w="3060" w:type="dxa"/>
            <w:vAlign w:val="bottom"/>
            <w:gridSpan w:val="4"/>
            <w:shd w:val="clear" w:color="auto" w:fill="0000FF"/>
          </w:tcPr>
          <w:p>
            <w:pPr>
              <w:spacing w:after="0" w:line="20" w:lineRule="exact"/>
              <w:rPr>
                <w:sz w:val="1"/>
                <w:szCs w:val="1"/>
                <w:color w:val="auto"/>
              </w:rPr>
            </w:pPr>
          </w:p>
        </w:tc>
        <w:tc>
          <w:tcPr>
            <w:tcW w:w="6760" w:type="dxa"/>
            <w:vAlign w:val="bottom"/>
            <w:gridSpan w:val="7"/>
          </w:tcPr>
          <w:p>
            <w:pPr>
              <w:spacing w:after="0" w:line="20" w:lineRule="exact"/>
              <w:rPr>
                <w:sz w:val="1"/>
                <w:szCs w:val="1"/>
                <w:color w:val="auto"/>
              </w:rPr>
            </w:pPr>
          </w:p>
        </w:tc>
      </w:tr>
      <w:tr>
        <w:trPr>
          <w:trHeight w:val="186"/>
        </w:trPr>
        <w:tc>
          <w:tcPr>
            <w:tcW w:w="20" w:type="dxa"/>
            <w:vAlign w:val="bottom"/>
          </w:tcPr>
          <w:p>
            <w:pPr>
              <w:spacing w:after="0"/>
              <w:rPr>
                <w:sz w:val="16"/>
                <w:szCs w:val="16"/>
                <w:color w:val="auto"/>
              </w:rPr>
            </w:pPr>
          </w:p>
        </w:tc>
        <w:tc>
          <w:tcPr>
            <w:tcW w:w="1420" w:type="dxa"/>
            <w:vAlign w:val="bottom"/>
            <w:gridSpan w:val="4"/>
          </w:tcPr>
          <w:p>
            <w:pPr>
              <w:spacing w:after="0"/>
              <w:rPr>
                <w:sz w:val="20"/>
                <w:szCs w:val="20"/>
                <w:color w:val="auto"/>
              </w:rPr>
            </w:pPr>
            <w:r>
              <w:rPr>
                <w:rFonts w:ascii="Arial" w:cs="Arial" w:eastAsia="Arial" w:hAnsi="Arial"/>
                <w:sz w:val="16"/>
                <w:szCs w:val="16"/>
                <w:color w:val="auto"/>
              </w:rPr>
              <w:t>101(INS)</w:t>
            </w:r>
          </w:p>
        </w:tc>
        <w:tc>
          <w:tcPr>
            <w:tcW w:w="9820" w:type="dxa"/>
            <w:vAlign w:val="bottom"/>
            <w:gridSpan w:val="11"/>
          </w:tcPr>
          <w:p>
            <w:pPr>
              <w:spacing w:after="0"/>
              <w:rPr>
                <w:sz w:val="20"/>
                <w:szCs w:val="20"/>
                <w:color w:val="auto"/>
              </w:rPr>
            </w:pPr>
            <w:r>
              <w:rPr>
                <w:rFonts w:ascii="Arial" w:cs="Arial" w:eastAsia="Arial" w:hAnsi="Arial"/>
                <w:sz w:val="16"/>
                <w:szCs w:val="16"/>
                <w:color w:val="auto"/>
                <w:w w:val="92"/>
              </w:rPr>
              <w:t>Inline XBRL Instance Document- the instance document does not appear in the Interactive Data File because its XBRL tags are embedded within the</w:t>
            </w:r>
          </w:p>
        </w:tc>
      </w:tr>
      <w:tr>
        <w:trPr>
          <w:trHeight w:val="206"/>
        </w:trPr>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9820" w:type="dxa"/>
            <w:vAlign w:val="bottom"/>
            <w:gridSpan w:val="11"/>
          </w:tcPr>
          <w:p>
            <w:pPr>
              <w:spacing w:after="0"/>
              <w:rPr>
                <w:sz w:val="20"/>
                <w:szCs w:val="20"/>
                <w:color w:val="auto"/>
              </w:rPr>
            </w:pPr>
            <w:r>
              <w:rPr>
                <w:rFonts w:ascii="Arial" w:cs="Arial" w:eastAsia="Arial" w:hAnsi="Arial"/>
                <w:sz w:val="16"/>
                <w:szCs w:val="16"/>
                <w:color w:val="auto"/>
              </w:rPr>
              <w:t>Inline XBRL document.</w:t>
            </w:r>
          </w:p>
        </w:tc>
      </w:tr>
      <w:tr>
        <w:trPr>
          <w:trHeight w:val="216"/>
        </w:trPr>
        <w:tc>
          <w:tcPr>
            <w:tcW w:w="20" w:type="dxa"/>
            <w:vAlign w:val="bottom"/>
          </w:tcPr>
          <w:p>
            <w:pPr>
              <w:spacing w:after="0"/>
              <w:rPr>
                <w:sz w:val="18"/>
                <w:szCs w:val="18"/>
                <w:color w:val="auto"/>
              </w:rPr>
            </w:pPr>
          </w:p>
        </w:tc>
        <w:tc>
          <w:tcPr>
            <w:tcW w:w="1420" w:type="dxa"/>
            <w:vAlign w:val="bottom"/>
            <w:gridSpan w:val="4"/>
          </w:tcPr>
          <w:p>
            <w:pPr>
              <w:spacing w:after="0"/>
              <w:rPr>
                <w:sz w:val="20"/>
                <w:szCs w:val="20"/>
                <w:color w:val="auto"/>
              </w:rPr>
            </w:pPr>
            <w:r>
              <w:rPr>
                <w:rFonts w:ascii="Arial" w:cs="Arial" w:eastAsia="Arial" w:hAnsi="Arial"/>
                <w:sz w:val="16"/>
                <w:szCs w:val="16"/>
                <w:color w:val="auto"/>
              </w:rPr>
              <w:t>101(SCH)</w:t>
            </w:r>
          </w:p>
        </w:tc>
        <w:tc>
          <w:tcPr>
            <w:tcW w:w="9820" w:type="dxa"/>
            <w:vAlign w:val="bottom"/>
            <w:gridSpan w:val="11"/>
          </w:tcPr>
          <w:p>
            <w:pPr>
              <w:spacing w:after="0"/>
              <w:rPr>
                <w:sz w:val="20"/>
                <w:szCs w:val="20"/>
                <w:color w:val="auto"/>
              </w:rPr>
            </w:pPr>
            <w:r>
              <w:rPr>
                <w:rFonts w:ascii="Arial" w:cs="Arial" w:eastAsia="Arial" w:hAnsi="Arial"/>
                <w:sz w:val="16"/>
                <w:szCs w:val="16"/>
                <w:color w:val="auto"/>
              </w:rPr>
              <w:t>Inline XBRL Taxonomy Extension Schema Document.</w:t>
            </w:r>
          </w:p>
        </w:tc>
      </w:tr>
      <w:tr>
        <w:trPr>
          <w:trHeight w:val="216"/>
        </w:trPr>
        <w:tc>
          <w:tcPr>
            <w:tcW w:w="20" w:type="dxa"/>
            <w:vAlign w:val="bottom"/>
          </w:tcPr>
          <w:p>
            <w:pPr>
              <w:spacing w:after="0"/>
              <w:rPr>
                <w:sz w:val="18"/>
                <w:szCs w:val="18"/>
                <w:color w:val="auto"/>
              </w:rPr>
            </w:pPr>
          </w:p>
        </w:tc>
        <w:tc>
          <w:tcPr>
            <w:tcW w:w="1420" w:type="dxa"/>
            <w:vAlign w:val="bottom"/>
            <w:gridSpan w:val="4"/>
          </w:tcPr>
          <w:p>
            <w:pPr>
              <w:spacing w:after="0"/>
              <w:rPr>
                <w:sz w:val="20"/>
                <w:szCs w:val="20"/>
                <w:color w:val="auto"/>
              </w:rPr>
            </w:pPr>
            <w:r>
              <w:rPr>
                <w:rFonts w:ascii="Arial" w:cs="Arial" w:eastAsia="Arial" w:hAnsi="Arial"/>
                <w:sz w:val="16"/>
                <w:szCs w:val="16"/>
                <w:color w:val="auto"/>
              </w:rPr>
              <w:t>101(CAL)</w:t>
            </w:r>
          </w:p>
        </w:tc>
        <w:tc>
          <w:tcPr>
            <w:tcW w:w="9820" w:type="dxa"/>
            <w:vAlign w:val="bottom"/>
            <w:gridSpan w:val="11"/>
          </w:tcPr>
          <w:p>
            <w:pPr>
              <w:spacing w:after="0"/>
              <w:rPr>
                <w:sz w:val="20"/>
                <w:szCs w:val="20"/>
                <w:color w:val="auto"/>
              </w:rPr>
            </w:pPr>
            <w:r>
              <w:rPr>
                <w:rFonts w:ascii="Arial" w:cs="Arial" w:eastAsia="Arial" w:hAnsi="Arial"/>
                <w:sz w:val="16"/>
                <w:szCs w:val="16"/>
                <w:color w:val="auto"/>
              </w:rPr>
              <w:t>Inline XBRL Taxonomy Extension Calculation Linkbase Document.</w:t>
            </w:r>
          </w:p>
        </w:tc>
      </w:tr>
      <w:tr>
        <w:trPr>
          <w:trHeight w:val="216"/>
        </w:trPr>
        <w:tc>
          <w:tcPr>
            <w:tcW w:w="20" w:type="dxa"/>
            <w:vAlign w:val="bottom"/>
          </w:tcPr>
          <w:p>
            <w:pPr>
              <w:spacing w:after="0"/>
              <w:rPr>
                <w:sz w:val="18"/>
                <w:szCs w:val="18"/>
                <w:color w:val="auto"/>
              </w:rPr>
            </w:pPr>
          </w:p>
        </w:tc>
        <w:tc>
          <w:tcPr>
            <w:tcW w:w="1420" w:type="dxa"/>
            <w:vAlign w:val="bottom"/>
            <w:gridSpan w:val="4"/>
          </w:tcPr>
          <w:p>
            <w:pPr>
              <w:spacing w:after="0"/>
              <w:rPr>
                <w:sz w:val="20"/>
                <w:szCs w:val="20"/>
                <w:color w:val="auto"/>
              </w:rPr>
            </w:pPr>
            <w:r>
              <w:rPr>
                <w:rFonts w:ascii="Arial" w:cs="Arial" w:eastAsia="Arial" w:hAnsi="Arial"/>
                <w:sz w:val="16"/>
                <w:szCs w:val="16"/>
                <w:color w:val="auto"/>
              </w:rPr>
              <w:t>101(LAB)</w:t>
            </w:r>
          </w:p>
        </w:tc>
        <w:tc>
          <w:tcPr>
            <w:tcW w:w="9820" w:type="dxa"/>
            <w:vAlign w:val="bottom"/>
            <w:gridSpan w:val="11"/>
          </w:tcPr>
          <w:p>
            <w:pPr>
              <w:spacing w:after="0"/>
              <w:rPr>
                <w:sz w:val="20"/>
                <w:szCs w:val="20"/>
                <w:color w:val="auto"/>
              </w:rPr>
            </w:pPr>
            <w:r>
              <w:rPr>
                <w:rFonts w:ascii="Arial" w:cs="Arial" w:eastAsia="Arial" w:hAnsi="Arial"/>
                <w:sz w:val="16"/>
                <w:szCs w:val="16"/>
                <w:color w:val="auto"/>
              </w:rPr>
              <w:t>Inline XBRL Taxonomy Extension Label Linkbase Document.</w:t>
            </w:r>
          </w:p>
        </w:tc>
      </w:tr>
      <w:tr>
        <w:trPr>
          <w:trHeight w:val="216"/>
        </w:trPr>
        <w:tc>
          <w:tcPr>
            <w:tcW w:w="20" w:type="dxa"/>
            <w:vAlign w:val="bottom"/>
          </w:tcPr>
          <w:p>
            <w:pPr>
              <w:spacing w:after="0"/>
              <w:rPr>
                <w:sz w:val="18"/>
                <w:szCs w:val="18"/>
                <w:color w:val="auto"/>
              </w:rPr>
            </w:pPr>
          </w:p>
        </w:tc>
        <w:tc>
          <w:tcPr>
            <w:tcW w:w="1420" w:type="dxa"/>
            <w:vAlign w:val="bottom"/>
            <w:gridSpan w:val="4"/>
          </w:tcPr>
          <w:p>
            <w:pPr>
              <w:spacing w:after="0"/>
              <w:rPr>
                <w:sz w:val="20"/>
                <w:szCs w:val="20"/>
                <w:color w:val="auto"/>
              </w:rPr>
            </w:pPr>
            <w:r>
              <w:rPr>
                <w:rFonts w:ascii="Arial" w:cs="Arial" w:eastAsia="Arial" w:hAnsi="Arial"/>
                <w:sz w:val="16"/>
                <w:szCs w:val="16"/>
                <w:color w:val="auto"/>
              </w:rPr>
              <w:t>101(PRE)</w:t>
            </w:r>
          </w:p>
        </w:tc>
        <w:tc>
          <w:tcPr>
            <w:tcW w:w="9820" w:type="dxa"/>
            <w:vAlign w:val="bottom"/>
            <w:gridSpan w:val="11"/>
          </w:tcPr>
          <w:p>
            <w:pPr>
              <w:spacing w:after="0"/>
              <w:rPr>
                <w:sz w:val="20"/>
                <w:szCs w:val="20"/>
                <w:color w:val="auto"/>
              </w:rPr>
            </w:pPr>
            <w:r>
              <w:rPr>
                <w:rFonts w:ascii="Arial" w:cs="Arial" w:eastAsia="Arial" w:hAnsi="Arial"/>
                <w:sz w:val="16"/>
                <w:szCs w:val="16"/>
                <w:color w:val="auto"/>
              </w:rPr>
              <w:t>Inline XBRL Taxonomy Extension Presentation Linkbase Document.</w:t>
            </w:r>
          </w:p>
        </w:tc>
      </w:tr>
      <w:tr>
        <w:trPr>
          <w:trHeight w:val="216"/>
        </w:trPr>
        <w:tc>
          <w:tcPr>
            <w:tcW w:w="20" w:type="dxa"/>
            <w:vAlign w:val="bottom"/>
          </w:tcPr>
          <w:p>
            <w:pPr>
              <w:spacing w:after="0"/>
              <w:rPr>
                <w:sz w:val="18"/>
                <w:szCs w:val="18"/>
                <w:color w:val="auto"/>
              </w:rPr>
            </w:pPr>
          </w:p>
        </w:tc>
        <w:tc>
          <w:tcPr>
            <w:tcW w:w="1420" w:type="dxa"/>
            <w:vAlign w:val="bottom"/>
            <w:gridSpan w:val="4"/>
          </w:tcPr>
          <w:p>
            <w:pPr>
              <w:spacing w:after="0"/>
              <w:rPr>
                <w:sz w:val="20"/>
                <w:szCs w:val="20"/>
                <w:color w:val="auto"/>
              </w:rPr>
            </w:pPr>
            <w:r>
              <w:rPr>
                <w:rFonts w:ascii="Arial" w:cs="Arial" w:eastAsia="Arial" w:hAnsi="Arial"/>
                <w:sz w:val="16"/>
                <w:szCs w:val="16"/>
                <w:color w:val="auto"/>
              </w:rPr>
              <w:t>101(DEF)</w:t>
            </w:r>
          </w:p>
        </w:tc>
        <w:tc>
          <w:tcPr>
            <w:tcW w:w="9820" w:type="dxa"/>
            <w:vAlign w:val="bottom"/>
            <w:gridSpan w:val="11"/>
          </w:tcPr>
          <w:p>
            <w:pPr>
              <w:spacing w:after="0"/>
              <w:rPr>
                <w:sz w:val="20"/>
                <w:szCs w:val="20"/>
                <w:color w:val="auto"/>
              </w:rPr>
            </w:pPr>
            <w:r>
              <w:rPr>
                <w:rFonts w:ascii="Arial" w:cs="Arial" w:eastAsia="Arial" w:hAnsi="Arial"/>
                <w:sz w:val="16"/>
                <w:szCs w:val="16"/>
                <w:color w:val="auto"/>
              </w:rPr>
              <w:t>Inline XBRL Taxonomy Extension Definition Linkbase Document.</w:t>
            </w:r>
          </w:p>
        </w:tc>
      </w:tr>
    </w:tbl>
    <w:p>
      <w:pPr>
        <w:spacing w:after="0" w:line="10" w:lineRule="exact"/>
        <w:rPr>
          <w:sz w:val="20"/>
          <w:szCs w:val="20"/>
          <w:color w:val="auto"/>
        </w:rPr>
      </w:pPr>
    </w:p>
    <w:p>
      <w:pPr>
        <w:ind w:left="1440" w:hanging="1414"/>
        <w:spacing w:after="0"/>
        <w:tabs>
          <w:tab w:leader="none" w:pos="1440" w:val="left"/>
        </w:tabs>
        <w:numPr>
          <w:ilvl w:val="0"/>
          <w:numId w:val="15"/>
        </w:numPr>
        <w:rPr>
          <w:rFonts w:ascii="Arial" w:cs="Arial" w:eastAsia="Arial" w:hAnsi="Arial"/>
          <w:sz w:val="14"/>
          <w:szCs w:val="14"/>
          <w:color w:val="auto"/>
        </w:rPr>
      </w:pPr>
      <w:r>
        <w:rPr>
          <w:rFonts w:ascii="Arial" w:cs="Arial" w:eastAsia="Arial" w:hAnsi="Arial"/>
          <w:sz w:val="14"/>
          <w:szCs w:val="14"/>
          <w:color w:val="auto"/>
        </w:rPr>
        <w:t>The cover page from the Company’s Quarterly Report on Form 10-Q for the quarter ended September 30, 2021, has been formatted in Inline XBRL.</w:t>
      </w:r>
    </w:p>
    <w:p>
      <w:pPr>
        <w:spacing w:after="0" w:line="200" w:lineRule="exact"/>
        <w:rPr>
          <w:rFonts w:ascii="Arial" w:cs="Arial" w:eastAsia="Arial" w:hAnsi="Arial"/>
          <w:sz w:val="14"/>
          <w:szCs w:val="14"/>
          <w:color w:val="auto"/>
        </w:rPr>
      </w:pPr>
    </w:p>
    <w:p>
      <w:pPr>
        <w:spacing w:after="0" w:line="200" w:lineRule="exact"/>
        <w:rPr>
          <w:rFonts w:ascii="Arial" w:cs="Arial" w:eastAsia="Arial" w:hAnsi="Arial"/>
          <w:sz w:val="14"/>
          <w:szCs w:val="14"/>
          <w:color w:val="auto"/>
        </w:rPr>
      </w:pPr>
    </w:p>
    <w:p>
      <w:pPr>
        <w:spacing w:after="0" w:line="271" w:lineRule="exact"/>
        <w:rPr>
          <w:rFonts w:ascii="Arial" w:cs="Arial" w:eastAsia="Arial" w:hAnsi="Arial"/>
          <w:sz w:val="14"/>
          <w:szCs w:val="14"/>
          <w:color w:val="auto"/>
        </w:rPr>
      </w:pPr>
    </w:p>
    <w:p>
      <w:pPr>
        <w:ind w:left="5540"/>
        <w:spacing w:after="0"/>
        <w:rPr>
          <w:rFonts w:ascii="Arial" w:cs="Arial" w:eastAsia="Arial" w:hAnsi="Arial"/>
          <w:sz w:val="14"/>
          <w:szCs w:val="14"/>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094" w:right="359" w:bottom="1440" w:gutter="0" w:footer="0" w:header="0"/>
        </w:sectPr>
      </w:pPr>
    </w:p>
    <w:bookmarkStart w:id="36" w:name="page37"/>
    <w:bookmarkEnd w:id="36"/>
    <w:p>
      <w:pPr>
        <w:jc w:val="center"/>
        <w:ind w:right="-19"/>
        <w:spacing w:after="0"/>
        <w:rPr>
          <w:sz w:val="20"/>
          <w:szCs w:val="20"/>
          <w:color w:val="auto"/>
        </w:rPr>
      </w:pPr>
      <w:r>
        <w:rPr>
          <w:rFonts w:ascii="Arial" w:cs="Arial" w:eastAsia="Arial" w:hAnsi="Arial"/>
          <w:sz w:val="18"/>
          <w:szCs w:val="18"/>
          <w:b w:val="1"/>
          <w:bCs w:val="1"/>
          <w:u w:val="single" w:color="auto"/>
          <w:color w:val="auto"/>
        </w:rPr>
        <w:t>SIGNATURES</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11" w:lineRule="exact"/>
        <w:rPr>
          <w:sz w:val="20"/>
          <w:szCs w:val="20"/>
          <w:color w:val="auto"/>
        </w:rPr>
      </w:pPr>
    </w:p>
    <w:p>
      <w:pPr>
        <w:ind w:left="20"/>
        <w:spacing w:after="0"/>
        <w:rPr>
          <w:sz w:val="20"/>
          <w:szCs w:val="20"/>
          <w:color w:val="auto"/>
        </w:rPr>
      </w:pPr>
      <w:r>
        <w:rPr>
          <w:rFonts w:ascii="Arial" w:cs="Arial" w:eastAsia="Arial" w:hAnsi="Arial"/>
          <w:sz w:val="18"/>
          <w:szCs w:val="18"/>
          <w:color w:val="auto"/>
        </w:rPr>
        <w:t>HESS CORPORATION</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color w:val="auto"/>
        </w:rPr>
        <w:t>(REGISTRANT)</w:t>
      </w:r>
    </w:p>
    <w:p>
      <w:pPr>
        <w:spacing w:after="0" w:line="346"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1520" w:type="dxa"/>
            <w:vAlign w:val="bottom"/>
          </w:tcPr>
          <w:p>
            <w:pPr>
              <w:spacing w:after="0"/>
              <w:rPr>
                <w:sz w:val="20"/>
                <w:szCs w:val="20"/>
                <w:color w:val="auto"/>
              </w:rPr>
            </w:pPr>
            <w:r>
              <w:rPr>
                <w:rFonts w:ascii="Arial" w:cs="Arial" w:eastAsia="Arial" w:hAnsi="Arial"/>
                <w:sz w:val="18"/>
                <w:szCs w:val="18"/>
                <w:color w:val="auto"/>
              </w:rPr>
              <w:t>By</w:t>
            </w:r>
          </w:p>
        </w:tc>
        <w:tc>
          <w:tcPr>
            <w:tcW w:w="4020" w:type="dxa"/>
            <w:vAlign w:val="bottom"/>
            <w:tcBorders>
              <w:bottom w:val="single" w:sz="8" w:color="auto"/>
            </w:tcBorders>
          </w:tcPr>
          <w:p>
            <w:pPr>
              <w:ind w:left="220"/>
              <w:spacing w:after="0"/>
              <w:rPr>
                <w:sz w:val="20"/>
                <w:szCs w:val="20"/>
                <w:color w:val="auto"/>
              </w:rPr>
            </w:pPr>
            <w:r>
              <w:rPr>
                <w:rFonts w:ascii="Arial" w:cs="Arial" w:eastAsia="Arial" w:hAnsi="Arial"/>
                <w:sz w:val="18"/>
                <w:szCs w:val="18"/>
                <w:color w:val="auto"/>
              </w:rPr>
              <w:t>/s/ John B. Hess</w:t>
            </w:r>
          </w:p>
        </w:tc>
      </w:tr>
      <w:tr>
        <w:trPr>
          <w:trHeight w:val="222"/>
        </w:trPr>
        <w:tc>
          <w:tcPr>
            <w:tcW w:w="1520" w:type="dxa"/>
            <w:vAlign w:val="bottom"/>
          </w:tcPr>
          <w:p>
            <w:pPr>
              <w:spacing w:after="0"/>
              <w:rPr>
                <w:sz w:val="19"/>
                <w:szCs w:val="19"/>
                <w:color w:val="auto"/>
              </w:rPr>
            </w:pPr>
          </w:p>
        </w:tc>
        <w:tc>
          <w:tcPr>
            <w:tcW w:w="4020" w:type="dxa"/>
            <w:vAlign w:val="bottom"/>
          </w:tcPr>
          <w:p>
            <w:pPr>
              <w:ind w:left="20"/>
              <w:spacing w:after="0"/>
              <w:rPr>
                <w:sz w:val="20"/>
                <w:szCs w:val="20"/>
                <w:color w:val="auto"/>
              </w:rPr>
            </w:pPr>
            <w:r>
              <w:rPr>
                <w:rFonts w:ascii="Arial" w:cs="Arial" w:eastAsia="Arial" w:hAnsi="Arial"/>
                <w:sz w:val="18"/>
                <w:szCs w:val="18"/>
                <w:color w:val="auto"/>
              </w:rPr>
              <w:t>JOHN B. HESS</w:t>
            </w:r>
          </w:p>
        </w:tc>
      </w:tr>
      <w:tr>
        <w:trPr>
          <w:trHeight w:val="230"/>
        </w:trPr>
        <w:tc>
          <w:tcPr>
            <w:tcW w:w="1520" w:type="dxa"/>
            <w:vAlign w:val="bottom"/>
          </w:tcPr>
          <w:p>
            <w:pPr>
              <w:spacing w:after="0"/>
              <w:rPr>
                <w:sz w:val="20"/>
                <w:szCs w:val="20"/>
                <w:color w:val="auto"/>
              </w:rPr>
            </w:pPr>
          </w:p>
        </w:tc>
        <w:tc>
          <w:tcPr>
            <w:tcW w:w="4020" w:type="dxa"/>
            <w:vAlign w:val="bottom"/>
          </w:tcPr>
          <w:p>
            <w:pPr>
              <w:ind w:left="20"/>
              <w:spacing w:after="0"/>
              <w:rPr>
                <w:sz w:val="20"/>
                <w:szCs w:val="20"/>
                <w:color w:val="auto"/>
              </w:rPr>
            </w:pPr>
            <w:r>
              <w:rPr>
                <w:rFonts w:ascii="Arial" w:cs="Arial" w:eastAsia="Arial" w:hAnsi="Arial"/>
                <w:sz w:val="18"/>
                <w:szCs w:val="18"/>
                <w:color w:val="auto"/>
              </w:rPr>
              <w:t>CHIEF EXECUTIVE OFFICER</w:t>
            </w:r>
          </w:p>
        </w:tc>
      </w:tr>
      <w:tr>
        <w:trPr>
          <w:trHeight w:val="553"/>
        </w:trPr>
        <w:tc>
          <w:tcPr>
            <w:tcW w:w="1520" w:type="dxa"/>
            <w:vAlign w:val="bottom"/>
          </w:tcPr>
          <w:p>
            <w:pPr>
              <w:spacing w:after="0"/>
              <w:rPr>
                <w:sz w:val="20"/>
                <w:szCs w:val="20"/>
                <w:color w:val="auto"/>
              </w:rPr>
            </w:pPr>
            <w:r>
              <w:rPr>
                <w:rFonts w:ascii="Arial" w:cs="Arial" w:eastAsia="Arial" w:hAnsi="Arial"/>
                <w:sz w:val="18"/>
                <w:szCs w:val="18"/>
                <w:color w:val="auto"/>
              </w:rPr>
              <w:t>By</w:t>
            </w:r>
          </w:p>
        </w:tc>
        <w:tc>
          <w:tcPr>
            <w:tcW w:w="4020" w:type="dxa"/>
            <w:vAlign w:val="bottom"/>
            <w:tcBorders>
              <w:bottom w:val="single" w:sz="8" w:color="auto"/>
            </w:tcBorders>
          </w:tcPr>
          <w:p>
            <w:pPr>
              <w:ind w:left="220"/>
              <w:spacing w:after="0"/>
              <w:rPr>
                <w:sz w:val="20"/>
                <w:szCs w:val="20"/>
                <w:color w:val="auto"/>
              </w:rPr>
            </w:pPr>
            <w:r>
              <w:rPr>
                <w:rFonts w:ascii="Arial" w:cs="Arial" w:eastAsia="Arial" w:hAnsi="Arial"/>
                <w:sz w:val="18"/>
                <w:szCs w:val="18"/>
                <w:color w:val="auto"/>
              </w:rPr>
              <w:t>/s/ John P. Rielly</w:t>
            </w:r>
          </w:p>
        </w:tc>
      </w:tr>
      <w:tr>
        <w:trPr>
          <w:trHeight w:val="222"/>
        </w:trPr>
        <w:tc>
          <w:tcPr>
            <w:tcW w:w="1520" w:type="dxa"/>
            <w:vAlign w:val="bottom"/>
          </w:tcPr>
          <w:p>
            <w:pPr>
              <w:spacing w:after="0"/>
              <w:rPr>
                <w:sz w:val="19"/>
                <w:szCs w:val="19"/>
                <w:color w:val="auto"/>
              </w:rPr>
            </w:pPr>
          </w:p>
        </w:tc>
        <w:tc>
          <w:tcPr>
            <w:tcW w:w="4020" w:type="dxa"/>
            <w:vAlign w:val="bottom"/>
          </w:tcPr>
          <w:p>
            <w:pPr>
              <w:ind w:left="20"/>
              <w:spacing w:after="0"/>
              <w:rPr>
                <w:sz w:val="20"/>
                <w:szCs w:val="20"/>
                <w:color w:val="auto"/>
              </w:rPr>
            </w:pPr>
            <w:r>
              <w:rPr>
                <w:rFonts w:ascii="Arial" w:cs="Arial" w:eastAsia="Arial" w:hAnsi="Arial"/>
                <w:sz w:val="18"/>
                <w:szCs w:val="18"/>
                <w:color w:val="auto"/>
              </w:rPr>
              <w:t>JOHN P. RIELLY</w:t>
            </w:r>
          </w:p>
        </w:tc>
      </w:tr>
      <w:tr>
        <w:trPr>
          <w:trHeight w:val="229"/>
        </w:trPr>
        <w:tc>
          <w:tcPr>
            <w:tcW w:w="1520" w:type="dxa"/>
            <w:vAlign w:val="bottom"/>
          </w:tcPr>
          <w:p>
            <w:pPr>
              <w:spacing w:after="0"/>
              <w:rPr>
                <w:sz w:val="19"/>
                <w:szCs w:val="19"/>
                <w:color w:val="auto"/>
              </w:rPr>
            </w:pPr>
          </w:p>
        </w:tc>
        <w:tc>
          <w:tcPr>
            <w:tcW w:w="4020" w:type="dxa"/>
            <w:vAlign w:val="bottom"/>
          </w:tcPr>
          <w:p>
            <w:pPr>
              <w:ind w:left="20"/>
              <w:spacing w:after="0"/>
              <w:rPr>
                <w:sz w:val="20"/>
                <w:szCs w:val="20"/>
                <w:color w:val="auto"/>
              </w:rPr>
            </w:pPr>
            <w:r>
              <w:rPr>
                <w:rFonts w:ascii="Arial" w:cs="Arial" w:eastAsia="Arial" w:hAnsi="Arial"/>
                <w:sz w:val="18"/>
                <w:szCs w:val="18"/>
                <w:color w:val="auto"/>
              </w:rPr>
              <w:t>EXECUTIVE VICE PRESIDENT AND</w:t>
            </w:r>
          </w:p>
        </w:tc>
      </w:tr>
      <w:tr>
        <w:trPr>
          <w:trHeight w:val="230"/>
        </w:trPr>
        <w:tc>
          <w:tcPr>
            <w:tcW w:w="1520" w:type="dxa"/>
            <w:vAlign w:val="bottom"/>
          </w:tcPr>
          <w:p>
            <w:pPr>
              <w:spacing w:after="0"/>
              <w:rPr>
                <w:sz w:val="20"/>
                <w:szCs w:val="20"/>
                <w:color w:val="auto"/>
              </w:rPr>
            </w:pPr>
          </w:p>
        </w:tc>
        <w:tc>
          <w:tcPr>
            <w:tcW w:w="4020" w:type="dxa"/>
            <w:vAlign w:val="bottom"/>
          </w:tcPr>
          <w:p>
            <w:pPr>
              <w:ind w:left="20"/>
              <w:spacing w:after="0"/>
              <w:rPr>
                <w:sz w:val="20"/>
                <w:szCs w:val="20"/>
                <w:color w:val="auto"/>
              </w:rPr>
            </w:pPr>
            <w:r>
              <w:rPr>
                <w:rFonts w:ascii="Arial" w:cs="Arial" w:eastAsia="Arial" w:hAnsi="Arial"/>
                <w:sz w:val="18"/>
                <w:szCs w:val="18"/>
                <w:color w:val="auto"/>
              </w:rPr>
              <w:t>CHIEF FINANCIAL OFFICER</w:t>
            </w:r>
          </w:p>
        </w:tc>
      </w:tr>
    </w:tbl>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Date: November 4,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40"/>
          </w:cols>
          <w:pgMar w:left="320" w:top="891" w:right="339" w:bottom="1440" w:gutter="0" w:footer="0" w:header="0"/>
        </w:sectPr>
      </w:pPr>
    </w:p>
    <w:bookmarkStart w:id="37" w:name="page38"/>
    <w:bookmarkEnd w:id="37"/>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CERTIFICATIONS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John B. Hess, certify that:</w:t>
      </w:r>
    </w:p>
    <w:p>
      <w:pPr>
        <w:spacing w:after="0" w:line="225" w:lineRule="exact"/>
        <w:rPr>
          <w:sz w:val="20"/>
          <w:szCs w:val="20"/>
          <w:color w:val="auto"/>
        </w:rPr>
      </w:pPr>
    </w:p>
    <w:p>
      <w:pPr>
        <w:ind w:left="660" w:hanging="652"/>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Hess Corporation;</w:t>
      </w:r>
    </w:p>
    <w:p>
      <w:pPr>
        <w:spacing w:after="0" w:line="225" w:lineRule="exact"/>
        <w:rPr>
          <w:rFonts w:ascii="Arial" w:cs="Arial" w:eastAsia="Arial" w:hAnsi="Arial"/>
          <w:sz w:val="18"/>
          <w:szCs w:val="18"/>
          <w:color w:val="auto"/>
        </w:rPr>
      </w:pPr>
    </w:p>
    <w:p>
      <w:pPr>
        <w:jc w:val="both"/>
        <w:ind w:left="660" w:hanging="652"/>
        <w:spacing w:after="0" w:line="263"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660" w:hanging="652"/>
        <w:spacing w:after="0" w:line="308" w:lineRule="auto"/>
        <w:tabs>
          <w:tab w:leader="none" w:pos="6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hanging="652"/>
        <w:spacing w:after="0" w:line="263"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jc w:val="both"/>
        <w:ind w:left="1300" w:hanging="644"/>
        <w:spacing w:after="0" w:line="263" w:lineRule="auto"/>
        <w:tabs>
          <w:tab w:leader="none" w:pos="1297"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jc w:val="both"/>
        <w:ind w:left="1300" w:hanging="644"/>
        <w:spacing w:after="0" w:line="263" w:lineRule="auto"/>
        <w:tabs>
          <w:tab w:leader="none" w:pos="1294"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left="1300" w:hanging="644"/>
        <w:spacing w:after="0" w:line="342" w:lineRule="auto"/>
        <w:tabs>
          <w:tab w:leader="none" w:pos="1297" w:val="left"/>
        </w:tabs>
        <w:numPr>
          <w:ilvl w:val="1"/>
          <w:numId w:val="16"/>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jc w:val="both"/>
        <w:ind w:left="1300" w:hanging="644"/>
        <w:spacing w:after="0" w:line="263" w:lineRule="auto"/>
        <w:tabs>
          <w:tab w:leader="none" w:pos="1294" w:val="left"/>
        </w:tabs>
        <w:numPr>
          <w:ilvl w:val="1"/>
          <w:numId w:val="1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660" w:hanging="652"/>
        <w:spacing w:after="0" w:line="342" w:lineRule="auto"/>
        <w:tabs>
          <w:tab w:leader="none" w:pos="6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300" w:right="20" w:hanging="644"/>
        <w:spacing w:after="0" w:line="308" w:lineRule="auto"/>
        <w:tabs>
          <w:tab w:leader="none" w:pos="1297" w:val="left"/>
        </w:tabs>
        <w:numPr>
          <w:ilvl w:val="1"/>
          <w:numId w:val="16"/>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6" w:lineRule="exact"/>
        <w:rPr>
          <w:rFonts w:ascii="Arial" w:cs="Arial" w:eastAsia="Arial" w:hAnsi="Arial"/>
          <w:sz w:val="17"/>
          <w:szCs w:val="17"/>
          <w:color w:val="auto"/>
        </w:rPr>
      </w:pPr>
    </w:p>
    <w:p>
      <w:pPr>
        <w:ind w:left="1300" w:hanging="644"/>
        <w:spacing w:after="0" w:line="277" w:lineRule="auto"/>
        <w:tabs>
          <w:tab w:leader="none" w:pos="1294" w:val="left"/>
        </w:tabs>
        <w:numPr>
          <w:ilvl w:val="1"/>
          <w:numId w:val="1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11" w:lineRule="exact"/>
        <w:rPr>
          <w:sz w:val="20"/>
          <w:szCs w:val="20"/>
          <w:color w:val="auto"/>
        </w:rPr>
      </w:pPr>
    </w:p>
    <w:p>
      <w:pPr>
        <w:ind w:left="5800"/>
        <w:spacing w:after="0"/>
        <w:tabs>
          <w:tab w:leader="none" w:pos="6200" w:val="left"/>
        </w:tabs>
        <w:rPr>
          <w:sz w:val="20"/>
          <w:szCs w:val="20"/>
          <w:color w:val="auto"/>
        </w:rPr>
      </w:pPr>
      <w:r>
        <w:rPr>
          <w:rFonts w:ascii="Arial" w:cs="Arial" w:eastAsia="Arial" w:hAnsi="Arial"/>
          <w:sz w:val="18"/>
          <w:szCs w:val="18"/>
          <w:color w:val="auto"/>
        </w:rPr>
        <w:t>By</w:t>
        <w:tab/>
        <w:t>/s/ John B. Hess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4145280</wp:posOffset>
            </wp:positionH>
            <wp:positionV relativeFrom="paragraph">
              <wp:posOffset>14605</wp:posOffset>
            </wp:positionV>
            <wp:extent cx="254635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extLst>
                    </a:blip>
                    <a:srcRect/>
                    <a:stretch>
                      <a:fillRect/>
                    </a:stretch>
                  </pic:blipFill>
                  <pic:spPr bwMode="auto">
                    <a:xfrm>
                      <a:off x="0" y="0"/>
                      <a:ext cx="2546350" cy="8890"/>
                    </a:xfrm>
                    <a:prstGeom prst="rect">
                      <a:avLst/>
                    </a:prstGeom>
                    <a:noFill/>
                  </pic:spPr>
                </pic:pic>
              </a:graphicData>
            </a:graphic>
          </wp:anchor>
        </w:drawing>
      </w:r>
    </w:p>
    <w:p>
      <w:pPr>
        <w:spacing w:after="0" w:line="16" w:lineRule="exact"/>
        <w:rPr>
          <w:sz w:val="20"/>
          <w:szCs w:val="20"/>
          <w:color w:val="auto"/>
        </w:rPr>
      </w:pPr>
    </w:p>
    <w:p>
      <w:pPr>
        <w:ind w:left="6220"/>
        <w:spacing w:after="0"/>
        <w:rPr>
          <w:sz w:val="20"/>
          <w:szCs w:val="20"/>
          <w:color w:val="auto"/>
        </w:rPr>
      </w:pPr>
      <w:r>
        <w:rPr>
          <w:rFonts w:ascii="Arial" w:cs="Arial" w:eastAsia="Arial" w:hAnsi="Arial"/>
          <w:sz w:val="18"/>
          <w:szCs w:val="18"/>
          <w:color w:val="auto"/>
        </w:rPr>
        <w:t>JOHN B. HESS</w:t>
      </w:r>
    </w:p>
    <w:p>
      <w:pPr>
        <w:spacing w:after="0" w:line="23" w:lineRule="exact"/>
        <w:rPr>
          <w:sz w:val="20"/>
          <w:szCs w:val="20"/>
          <w:color w:val="auto"/>
        </w:rPr>
      </w:pPr>
    </w:p>
    <w:p>
      <w:pPr>
        <w:ind w:left="6220"/>
        <w:spacing w:after="0"/>
        <w:rPr>
          <w:sz w:val="20"/>
          <w:szCs w:val="20"/>
          <w:color w:val="auto"/>
        </w:rPr>
      </w:pPr>
      <w:r>
        <w:rPr>
          <w:rFonts w:ascii="Arial" w:cs="Arial" w:eastAsia="Arial" w:hAnsi="Arial"/>
          <w:sz w:val="18"/>
          <w:szCs w:val="18"/>
          <w:color w:val="auto"/>
        </w:rPr>
        <w:t>CHIEF EXECUTIVE OFFICER</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color w:val="auto"/>
        </w:rPr>
        <w:t>Date: November 4, 2021</w:t>
      </w:r>
    </w:p>
    <w:p>
      <w:pPr>
        <w:sectPr>
          <w:pgSz w:w="11900" w:h="16838" w:orient="portrait"/>
          <w:cols w:equalWidth="0" w:num="1">
            <w:col w:w="11240"/>
          </w:cols>
          <w:pgMar w:left="320" w:top="891" w:right="339" w:bottom="1440" w:gutter="0" w:footer="0" w:header="0"/>
        </w:sectPr>
      </w:pPr>
    </w:p>
    <w:bookmarkStart w:id="38" w:name="page39"/>
    <w:bookmarkEnd w:id="38"/>
    <w:p>
      <w:pPr>
        <w:jc w:val="right"/>
        <w:spacing w:after="0"/>
        <w:rPr>
          <w:sz w:val="20"/>
          <w:szCs w:val="20"/>
          <w:color w:val="auto"/>
        </w:rPr>
      </w:pPr>
      <w:r>
        <w:rPr>
          <w:rFonts w:ascii="Arial" w:cs="Arial" w:eastAsia="Arial" w:hAnsi="Arial"/>
          <w:sz w:val="18"/>
          <w:szCs w:val="18"/>
          <w:b w:val="1"/>
          <w:bCs w:val="1"/>
          <w:color w:val="auto"/>
        </w:rPr>
        <w:t>Exhibit 31(2)</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John P. Rielly, certify that:</w:t>
      </w:r>
    </w:p>
    <w:p>
      <w:pPr>
        <w:spacing w:after="0" w:line="225" w:lineRule="exact"/>
        <w:rPr>
          <w:sz w:val="20"/>
          <w:szCs w:val="20"/>
          <w:color w:val="auto"/>
        </w:rPr>
      </w:pPr>
    </w:p>
    <w:p>
      <w:pPr>
        <w:ind w:left="660" w:hanging="652"/>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Hess Corporation;</w:t>
      </w:r>
    </w:p>
    <w:p>
      <w:pPr>
        <w:spacing w:after="0" w:line="225" w:lineRule="exact"/>
        <w:rPr>
          <w:rFonts w:ascii="Arial" w:cs="Arial" w:eastAsia="Arial" w:hAnsi="Arial"/>
          <w:sz w:val="18"/>
          <w:szCs w:val="18"/>
          <w:color w:val="auto"/>
        </w:rPr>
      </w:pPr>
    </w:p>
    <w:p>
      <w:pPr>
        <w:jc w:val="both"/>
        <w:ind w:left="660" w:hanging="652"/>
        <w:spacing w:after="0" w:line="263"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660" w:hanging="652"/>
        <w:spacing w:after="0" w:line="308" w:lineRule="auto"/>
        <w:tabs>
          <w:tab w:leader="none" w:pos="6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hanging="652"/>
        <w:spacing w:after="0" w:line="263"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3" w:lineRule="exact"/>
        <w:rPr>
          <w:rFonts w:ascii="Arial" w:cs="Arial" w:eastAsia="Arial" w:hAnsi="Arial"/>
          <w:sz w:val="18"/>
          <w:szCs w:val="18"/>
          <w:color w:val="auto"/>
        </w:rPr>
      </w:pPr>
    </w:p>
    <w:p>
      <w:pPr>
        <w:jc w:val="both"/>
        <w:ind w:left="1300" w:hanging="644"/>
        <w:spacing w:after="0" w:line="263" w:lineRule="auto"/>
        <w:tabs>
          <w:tab w:leader="none" w:pos="1297"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jc w:val="both"/>
        <w:ind w:left="1300" w:hanging="644"/>
        <w:spacing w:after="0" w:line="263" w:lineRule="auto"/>
        <w:tabs>
          <w:tab w:leader="none" w:pos="1294"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left="1300" w:hanging="644"/>
        <w:spacing w:after="0" w:line="342" w:lineRule="auto"/>
        <w:tabs>
          <w:tab w:leader="none" w:pos="1297" w:val="left"/>
        </w:tabs>
        <w:numPr>
          <w:ilvl w:val="1"/>
          <w:numId w:val="1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jc w:val="both"/>
        <w:ind w:left="1300" w:hanging="644"/>
        <w:spacing w:after="0" w:line="263" w:lineRule="auto"/>
        <w:tabs>
          <w:tab w:leader="none" w:pos="1294" w:val="left"/>
        </w:tabs>
        <w:numPr>
          <w:ilvl w:val="1"/>
          <w:numId w:val="1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3" w:lineRule="exact"/>
        <w:rPr>
          <w:rFonts w:ascii="Arial" w:cs="Arial" w:eastAsia="Arial" w:hAnsi="Arial"/>
          <w:sz w:val="18"/>
          <w:szCs w:val="18"/>
          <w:color w:val="auto"/>
        </w:rPr>
      </w:pPr>
    </w:p>
    <w:p>
      <w:pPr>
        <w:ind w:left="660" w:hanging="652"/>
        <w:spacing w:after="0" w:line="342" w:lineRule="auto"/>
        <w:tabs>
          <w:tab w:leader="none" w:pos="6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300" w:right="20" w:hanging="644"/>
        <w:spacing w:after="0" w:line="308" w:lineRule="auto"/>
        <w:tabs>
          <w:tab w:leader="none" w:pos="1297" w:val="left"/>
        </w:tabs>
        <w:numPr>
          <w:ilvl w:val="1"/>
          <w:numId w:val="17"/>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6" w:lineRule="exact"/>
        <w:rPr>
          <w:rFonts w:ascii="Arial" w:cs="Arial" w:eastAsia="Arial" w:hAnsi="Arial"/>
          <w:sz w:val="17"/>
          <w:szCs w:val="17"/>
          <w:color w:val="auto"/>
        </w:rPr>
      </w:pPr>
    </w:p>
    <w:p>
      <w:pPr>
        <w:ind w:left="1300" w:hanging="644"/>
        <w:spacing w:after="0" w:line="277" w:lineRule="auto"/>
        <w:tabs>
          <w:tab w:leader="none" w:pos="1294" w:val="left"/>
        </w:tabs>
        <w:numPr>
          <w:ilvl w:val="1"/>
          <w:numId w:val="1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11" w:lineRule="exact"/>
        <w:rPr>
          <w:sz w:val="20"/>
          <w:szCs w:val="20"/>
          <w:color w:val="auto"/>
        </w:rPr>
      </w:pPr>
    </w:p>
    <w:p>
      <w:pPr>
        <w:ind w:left="5920"/>
        <w:spacing w:after="0"/>
        <w:tabs>
          <w:tab w:leader="none" w:pos="6320" w:val="left"/>
        </w:tabs>
        <w:rPr>
          <w:sz w:val="20"/>
          <w:szCs w:val="20"/>
          <w:color w:val="auto"/>
        </w:rPr>
      </w:pPr>
      <w:r>
        <w:rPr>
          <w:rFonts w:ascii="Arial" w:cs="Arial" w:eastAsia="Arial" w:hAnsi="Arial"/>
          <w:sz w:val="18"/>
          <w:szCs w:val="18"/>
          <w:color w:val="auto"/>
        </w:rPr>
        <w:t>By</w:t>
        <w:tab/>
        <w:t>/s/ John P. Rielly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4222750</wp:posOffset>
            </wp:positionH>
            <wp:positionV relativeFrom="paragraph">
              <wp:posOffset>14605</wp:posOffset>
            </wp:positionV>
            <wp:extent cx="2545715"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extLst>
                    </a:blip>
                    <a:srcRect/>
                    <a:stretch>
                      <a:fillRect/>
                    </a:stretch>
                  </pic:blipFill>
                  <pic:spPr bwMode="auto">
                    <a:xfrm>
                      <a:off x="0" y="0"/>
                      <a:ext cx="2545715" cy="8255"/>
                    </a:xfrm>
                    <a:prstGeom prst="rect">
                      <a:avLst/>
                    </a:prstGeom>
                    <a:noFill/>
                  </pic:spPr>
                </pic:pic>
              </a:graphicData>
            </a:graphic>
          </wp:anchor>
        </w:drawing>
      </w:r>
    </w:p>
    <w:p>
      <w:pPr>
        <w:spacing w:after="0" w:line="16" w:lineRule="exact"/>
        <w:rPr>
          <w:sz w:val="20"/>
          <w:szCs w:val="20"/>
          <w:color w:val="auto"/>
        </w:rPr>
      </w:pPr>
    </w:p>
    <w:p>
      <w:pPr>
        <w:ind w:left="6340"/>
        <w:spacing w:after="0"/>
        <w:rPr>
          <w:sz w:val="20"/>
          <w:szCs w:val="20"/>
          <w:color w:val="auto"/>
        </w:rPr>
      </w:pPr>
      <w:r>
        <w:rPr>
          <w:rFonts w:ascii="Arial" w:cs="Arial" w:eastAsia="Arial" w:hAnsi="Arial"/>
          <w:sz w:val="18"/>
          <w:szCs w:val="18"/>
          <w:color w:val="auto"/>
        </w:rPr>
        <w:t>JOHN P. RIELLY</w:t>
      </w:r>
    </w:p>
    <w:p>
      <w:pPr>
        <w:spacing w:after="0" w:line="23" w:lineRule="exact"/>
        <w:rPr>
          <w:sz w:val="20"/>
          <w:szCs w:val="20"/>
          <w:color w:val="auto"/>
        </w:rPr>
      </w:pPr>
    </w:p>
    <w:p>
      <w:pPr>
        <w:ind w:left="6340"/>
        <w:spacing w:after="0"/>
        <w:rPr>
          <w:sz w:val="20"/>
          <w:szCs w:val="20"/>
          <w:color w:val="auto"/>
        </w:rPr>
      </w:pPr>
      <w:r>
        <w:rPr>
          <w:rFonts w:ascii="Arial" w:cs="Arial" w:eastAsia="Arial" w:hAnsi="Arial"/>
          <w:sz w:val="18"/>
          <w:szCs w:val="18"/>
          <w:color w:val="auto"/>
        </w:rPr>
        <w:t>EXECUTIVE VICE PRESIDENT AND</w:t>
      </w:r>
    </w:p>
    <w:p>
      <w:pPr>
        <w:spacing w:after="0" w:line="23" w:lineRule="exact"/>
        <w:rPr>
          <w:sz w:val="20"/>
          <w:szCs w:val="20"/>
          <w:color w:val="auto"/>
        </w:rPr>
      </w:pPr>
    </w:p>
    <w:p>
      <w:pPr>
        <w:ind w:left="6340"/>
        <w:spacing w:after="0"/>
        <w:rPr>
          <w:sz w:val="20"/>
          <w:szCs w:val="20"/>
          <w:color w:val="auto"/>
        </w:rPr>
      </w:pPr>
      <w:r>
        <w:rPr>
          <w:rFonts w:ascii="Arial" w:cs="Arial" w:eastAsia="Arial" w:hAnsi="Arial"/>
          <w:sz w:val="18"/>
          <w:szCs w:val="18"/>
          <w:color w:val="auto"/>
        </w:rPr>
        <w:t>CHIEF FINANCIAL OFFICER</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color w:val="auto"/>
        </w:rPr>
        <w:t>Date: November 4, 2021</w:t>
      </w:r>
    </w:p>
    <w:p>
      <w:pPr>
        <w:sectPr>
          <w:pgSz w:w="11900" w:h="16838" w:orient="portrait"/>
          <w:cols w:equalWidth="0" w:num="1">
            <w:col w:w="11240"/>
          </w:cols>
          <w:pgMar w:left="320" w:top="891" w:right="339" w:bottom="1440" w:gutter="0" w:footer="0" w:header="0"/>
        </w:sectPr>
      </w:pPr>
    </w:p>
    <w:bookmarkStart w:id="39" w:name="page40"/>
    <w:bookmarkEnd w:id="39"/>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connection with the Quarterly Report of Hess Corporation (the "Corporation") on Form 10-Q for the period ending September 30, 2021 as filed with the Securities and Exchange Commission on the date hereof (the "Report"), I, John B. Hess, Chief Executive Officer of the Corporation, certify, pursuant to 18 U.S.C. Section 1350, as adopted pursuant to Section 906 of the Sarbanes-Oxley Act of 2002, that:</w:t>
      </w:r>
    </w:p>
    <w:p>
      <w:pPr>
        <w:spacing w:after="0" w:line="184" w:lineRule="exact"/>
        <w:rPr>
          <w:sz w:val="20"/>
          <w:szCs w:val="20"/>
          <w:color w:val="auto"/>
        </w:rPr>
      </w:pPr>
    </w:p>
    <w:p>
      <w:pPr>
        <w:ind w:left="640" w:hanging="632"/>
        <w:spacing w:after="0"/>
        <w:tabs>
          <w:tab w:leader="none" w:pos="6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and</w:t>
      </w:r>
    </w:p>
    <w:p>
      <w:pPr>
        <w:spacing w:after="0" w:line="225" w:lineRule="exact"/>
        <w:rPr>
          <w:rFonts w:ascii="Arial" w:cs="Arial" w:eastAsia="Arial" w:hAnsi="Arial"/>
          <w:sz w:val="18"/>
          <w:szCs w:val="18"/>
          <w:color w:val="auto"/>
        </w:rPr>
      </w:pPr>
    </w:p>
    <w:p>
      <w:pPr>
        <w:ind w:left="660" w:hanging="652"/>
        <w:spacing w:after="0" w:line="277" w:lineRule="auto"/>
        <w:tabs>
          <w:tab w:leader="none" w:pos="654"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Corporation.</w:t>
      </w:r>
    </w:p>
    <w:p>
      <w:pPr>
        <w:spacing w:after="0" w:line="211" w:lineRule="exact"/>
        <w:rPr>
          <w:sz w:val="20"/>
          <w:szCs w:val="20"/>
          <w:color w:val="auto"/>
        </w:rPr>
      </w:pPr>
    </w:p>
    <w:p>
      <w:pPr>
        <w:ind w:left="5900"/>
        <w:spacing w:after="0"/>
        <w:tabs>
          <w:tab w:leader="none" w:pos="6340" w:val="left"/>
        </w:tabs>
        <w:rPr>
          <w:sz w:val="20"/>
          <w:szCs w:val="20"/>
          <w:color w:val="auto"/>
        </w:rPr>
      </w:pPr>
      <w:r>
        <w:rPr>
          <w:rFonts w:ascii="Arial" w:cs="Arial" w:eastAsia="Arial" w:hAnsi="Arial"/>
          <w:sz w:val="18"/>
          <w:szCs w:val="18"/>
          <w:color w:val="auto"/>
        </w:rPr>
        <w:t>By</w:t>
        <w:tab/>
        <w:t>/s/ John B. Hess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4231005</wp:posOffset>
            </wp:positionH>
            <wp:positionV relativeFrom="paragraph">
              <wp:posOffset>14605</wp:posOffset>
            </wp:positionV>
            <wp:extent cx="270002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extLst>
                    </a:blip>
                    <a:srcRect/>
                    <a:stretch>
                      <a:fillRect/>
                    </a:stretch>
                  </pic:blipFill>
                  <pic:spPr bwMode="auto">
                    <a:xfrm>
                      <a:off x="0" y="0"/>
                      <a:ext cx="2700020" cy="8890"/>
                    </a:xfrm>
                    <a:prstGeom prst="rect">
                      <a:avLst/>
                    </a:prstGeom>
                    <a:noFill/>
                  </pic:spPr>
                </pic:pic>
              </a:graphicData>
            </a:graphic>
          </wp:anchor>
        </w:drawing>
      </w:r>
    </w:p>
    <w:p>
      <w:pPr>
        <w:spacing w:after="0" w:line="16" w:lineRule="exact"/>
        <w:rPr>
          <w:sz w:val="20"/>
          <w:szCs w:val="20"/>
          <w:color w:val="auto"/>
        </w:rPr>
      </w:pPr>
    </w:p>
    <w:p>
      <w:pPr>
        <w:ind w:left="6360"/>
        <w:spacing w:after="0"/>
        <w:rPr>
          <w:sz w:val="20"/>
          <w:szCs w:val="20"/>
          <w:color w:val="auto"/>
        </w:rPr>
      </w:pPr>
      <w:r>
        <w:rPr>
          <w:rFonts w:ascii="Arial" w:cs="Arial" w:eastAsia="Arial" w:hAnsi="Arial"/>
          <w:sz w:val="18"/>
          <w:szCs w:val="18"/>
          <w:color w:val="auto"/>
        </w:rPr>
        <w:t>JOHN B. HESS</w:t>
      </w:r>
    </w:p>
    <w:p>
      <w:pPr>
        <w:spacing w:after="0" w:line="23" w:lineRule="exact"/>
        <w:rPr>
          <w:sz w:val="20"/>
          <w:szCs w:val="20"/>
          <w:color w:val="auto"/>
        </w:rPr>
      </w:pPr>
    </w:p>
    <w:p>
      <w:pPr>
        <w:ind w:left="6360"/>
        <w:spacing w:after="0"/>
        <w:rPr>
          <w:sz w:val="20"/>
          <w:szCs w:val="20"/>
          <w:color w:val="auto"/>
        </w:rPr>
      </w:pPr>
      <w:r>
        <w:rPr>
          <w:rFonts w:ascii="Arial" w:cs="Arial" w:eastAsia="Arial" w:hAnsi="Arial"/>
          <w:sz w:val="18"/>
          <w:szCs w:val="18"/>
          <w:color w:val="auto"/>
        </w:rPr>
        <w:t>CHIEF EXECUTIVE OFFICER</w:t>
      </w:r>
    </w:p>
    <w:p>
      <w:pPr>
        <w:spacing w:after="0" w:line="23" w:lineRule="exact"/>
        <w:rPr>
          <w:sz w:val="20"/>
          <w:szCs w:val="20"/>
          <w:color w:val="auto"/>
        </w:rPr>
      </w:pPr>
    </w:p>
    <w:p>
      <w:pPr>
        <w:ind w:left="6360"/>
        <w:spacing w:after="0"/>
        <w:rPr>
          <w:sz w:val="20"/>
          <w:szCs w:val="20"/>
          <w:color w:val="auto"/>
        </w:rPr>
      </w:pPr>
      <w:r>
        <w:rPr>
          <w:rFonts w:ascii="Arial" w:cs="Arial" w:eastAsia="Arial" w:hAnsi="Arial"/>
          <w:sz w:val="18"/>
          <w:szCs w:val="18"/>
          <w:color w:val="auto"/>
        </w:rPr>
        <w:t>Date: November 4, 2021</w:t>
      </w:r>
    </w:p>
    <w:p>
      <w:pPr>
        <w:spacing w:after="0" w:line="31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Hess Corporation and will be retained by Hess Corporation and furnished to the Securities and Exchange Commission or its staff upon request.</w:t>
      </w:r>
    </w:p>
    <w:p>
      <w:pPr>
        <w:sectPr>
          <w:pgSz w:w="11900" w:h="16838" w:orient="portrait"/>
          <w:cols w:equalWidth="0" w:num="1">
            <w:col w:w="11240"/>
          </w:cols>
          <w:pgMar w:left="320" w:top="891" w:right="339" w:bottom="1440" w:gutter="0" w:footer="0" w:header="0"/>
        </w:sectPr>
      </w:pPr>
    </w:p>
    <w:bookmarkStart w:id="40" w:name="page41"/>
    <w:bookmarkEnd w:id="40"/>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connection with the Quarterly Report of Hess Corporation (the "Corporation") on Form 10-Q for the period ending September 30, 2021 as filed with the Securities and Exchange Commission on the date hereof (the "Report"), I, John P. Rielly, Executive Vice President and Chief Financial Officer of the Corporation, certify, pursuant to 18 U.S.C. Section 1350, as adopted pursuant to Section 906 of the Sarbanes-Oxley Act of 2002, that:</w:t>
      </w:r>
    </w:p>
    <w:p>
      <w:pPr>
        <w:spacing w:after="0" w:line="165" w:lineRule="exact"/>
        <w:rPr>
          <w:sz w:val="20"/>
          <w:szCs w:val="20"/>
          <w:color w:val="auto"/>
        </w:rPr>
      </w:pPr>
    </w:p>
    <w:p>
      <w:pPr>
        <w:ind w:left="640" w:hanging="632"/>
        <w:spacing w:after="0"/>
        <w:tabs>
          <w:tab w:leader="none" w:pos="6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and</w:t>
      </w:r>
    </w:p>
    <w:p>
      <w:pPr>
        <w:spacing w:after="0" w:line="225" w:lineRule="exact"/>
        <w:rPr>
          <w:rFonts w:ascii="Arial" w:cs="Arial" w:eastAsia="Arial" w:hAnsi="Arial"/>
          <w:sz w:val="18"/>
          <w:szCs w:val="18"/>
          <w:color w:val="auto"/>
        </w:rPr>
      </w:pPr>
    </w:p>
    <w:p>
      <w:pPr>
        <w:ind w:left="660" w:hanging="652"/>
        <w:spacing w:after="0" w:line="277" w:lineRule="auto"/>
        <w:tabs>
          <w:tab w:leader="none" w:pos="654"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Corporation.</w:t>
      </w:r>
    </w:p>
    <w:p>
      <w:pPr>
        <w:spacing w:after="0" w:line="211" w:lineRule="exact"/>
        <w:rPr>
          <w:sz w:val="20"/>
          <w:szCs w:val="20"/>
          <w:color w:val="auto"/>
        </w:rPr>
      </w:pPr>
    </w:p>
    <w:p>
      <w:pPr>
        <w:ind w:left="5820"/>
        <w:spacing w:after="0"/>
        <w:tabs>
          <w:tab w:leader="none" w:pos="6220" w:val="left"/>
        </w:tabs>
        <w:rPr>
          <w:sz w:val="20"/>
          <w:szCs w:val="20"/>
          <w:color w:val="auto"/>
        </w:rPr>
      </w:pPr>
      <w:r>
        <w:rPr>
          <w:rFonts w:ascii="Arial" w:cs="Arial" w:eastAsia="Arial" w:hAnsi="Arial"/>
          <w:sz w:val="18"/>
          <w:szCs w:val="18"/>
          <w:color w:val="auto"/>
        </w:rPr>
        <w:t>By</w:t>
        <w:tab/>
        <w:t>/s/ John P. Rielly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4162425</wp:posOffset>
            </wp:positionH>
            <wp:positionV relativeFrom="paragraph">
              <wp:posOffset>14605</wp:posOffset>
            </wp:positionV>
            <wp:extent cx="2545715"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extLst>
                    </a:blip>
                    <a:srcRect/>
                    <a:stretch>
                      <a:fillRect/>
                    </a:stretch>
                  </pic:blipFill>
                  <pic:spPr bwMode="auto">
                    <a:xfrm>
                      <a:off x="0" y="0"/>
                      <a:ext cx="2545715" cy="8890"/>
                    </a:xfrm>
                    <a:prstGeom prst="rect">
                      <a:avLst/>
                    </a:prstGeom>
                    <a:noFill/>
                  </pic:spPr>
                </pic:pic>
              </a:graphicData>
            </a:graphic>
          </wp:anchor>
        </w:drawing>
      </w:r>
    </w:p>
    <w:p>
      <w:pPr>
        <w:spacing w:after="0" w:line="16" w:lineRule="exact"/>
        <w:rPr>
          <w:sz w:val="20"/>
          <w:szCs w:val="20"/>
          <w:color w:val="auto"/>
        </w:rPr>
      </w:pPr>
    </w:p>
    <w:p>
      <w:pPr>
        <w:ind w:left="6240"/>
        <w:spacing w:after="0"/>
        <w:rPr>
          <w:sz w:val="20"/>
          <w:szCs w:val="20"/>
          <w:color w:val="auto"/>
        </w:rPr>
      </w:pPr>
      <w:r>
        <w:rPr>
          <w:rFonts w:ascii="Arial" w:cs="Arial" w:eastAsia="Arial" w:hAnsi="Arial"/>
          <w:sz w:val="18"/>
          <w:szCs w:val="18"/>
          <w:color w:val="auto"/>
        </w:rPr>
        <w:t>JOHN P. RIELLY</w:t>
      </w:r>
    </w:p>
    <w:p>
      <w:pPr>
        <w:spacing w:after="0" w:line="23" w:lineRule="exact"/>
        <w:rPr>
          <w:sz w:val="20"/>
          <w:szCs w:val="20"/>
          <w:color w:val="auto"/>
        </w:rPr>
      </w:pPr>
    </w:p>
    <w:p>
      <w:pPr>
        <w:ind w:left="6240"/>
        <w:spacing w:after="0"/>
        <w:rPr>
          <w:sz w:val="20"/>
          <w:szCs w:val="20"/>
          <w:color w:val="auto"/>
        </w:rPr>
      </w:pPr>
      <w:r>
        <w:rPr>
          <w:rFonts w:ascii="Arial" w:cs="Arial" w:eastAsia="Arial" w:hAnsi="Arial"/>
          <w:sz w:val="18"/>
          <w:szCs w:val="18"/>
          <w:color w:val="auto"/>
        </w:rPr>
        <w:t>EXECUTIVE VICE PRESIDENT AND</w:t>
      </w:r>
    </w:p>
    <w:p>
      <w:pPr>
        <w:spacing w:after="0" w:line="23" w:lineRule="exact"/>
        <w:rPr>
          <w:sz w:val="20"/>
          <w:szCs w:val="20"/>
          <w:color w:val="auto"/>
        </w:rPr>
      </w:pPr>
    </w:p>
    <w:p>
      <w:pPr>
        <w:ind w:left="6240"/>
        <w:spacing w:after="0"/>
        <w:rPr>
          <w:sz w:val="20"/>
          <w:szCs w:val="20"/>
          <w:color w:val="auto"/>
        </w:rPr>
      </w:pPr>
      <w:r>
        <w:rPr>
          <w:rFonts w:ascii="Arial" w:cs="Arial" w:eastAsia="Arial" w:hAnsi="Arial"/>
          <w:sz w:val="18"/>
          <w:szCs w:val="18"/>
          <w:color w:val="auto"/>
        </w:rPr>
        <w:t>CHIEF FINANCIAL OFFICER</w:t>
      </w:r>
    </w:p>
    <w:p>
      <w:pPr>
        <w:spacing w:after="0" w:line="23" w:lineRule="exact"/>
        <w:rPr>
          <w:sz w:val="20"/>
          <w:szCs w:val="20"/>
          <w:color w:val="auto"/>
        </w:rPr>
      </w:pPr>
    </w:p>
    <w:p>
      <w:pPr>
        <w:ind w:left="6240"/>
        <w:spacing w:after="0"/>
        <w:rPr>
          <w:sz w:val="20"/>
          <w:szCs w:val="20"/>
          <w:color w:val="auto"/>
        </w:rPr>
      </w:pPr>
      <w:r>
        <w:rPr>
          <w:rFonts w:ascii="Arial" w:cs="Arial" w:eastAsia="Arial" w:hAnsi="Arial"/>
          <w:sz w:val="18"/>
          <w:szCs w:val="18"/>
          <w:color w:val="auto"/>
        </w:rPr>
        <w:t>Date: November 4, 2021</w:t>
      </w:r>
    </w:p>
    <w:p>
      <w:pPr>
        <w:spacing w:after="0" w:line="31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Hess Corporation and will be retained by Hess Corporation and furnished to the Securities and Exchange Commission or its staff upon request.</w:t>
      </w:r>
    </w:p>
    <w:sectPr>
      <w:pgSz w:w="11900" w:h="16838" w:orient="portrait"/>
      <w:cols w:equalWidth="0" w:num="1">
        <w:col w:w="11240"/>
      </w:cols>
      <w:pgMar w:left="320" w:top="89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
      <w:numFmt w:val="bullet"/>
      <w:start w:val="1"/>
    </w:lvl>
  </w:abstractNum>
  <w:abstractNum w:abstractNumId="2">
    <w:nsid w:val="1F16E9E8"/>
    <w:multiLevelType w:val="hybridMultilevel"/>
    <w:lvl w:ilvl="0">
      <w:lvlJc w:val="left"/>
      <w:lvlText w:val="%1."/>
      <w:numFmt w:val="decimal"/>
      <w:start w:val="1"/>
    </w:lvl>
  </w:abstractNum>
  <w:abstractNum w:abstractNumId="3">
    <w:nsid w:val="1190CDE7"/>
    <w:multiLevelType w:val="hybridMultilevel"/>
    <w:lvl w:ilvl="0">
      <w:lvlJc w:val="left"/>
      <w:lvlText w:val="(%1)"/>
      <w:numFmt w:val="lowerLetter"/>
      <w:start w:val="1"/>
    </w:lvl>
  </w:abstractNum>
  <w:abstractNum w:abstractNumId="4">
    <w:nsid w:val="66EF438D"/>
    <w:multiLevelType w:val="hybridMultilevel"/>
    <w:lvl w:ilvl="0">
      <w:lvlJc w:val="left"/>
      <w:lvlText w:val="•"/>
      <w:numFmt w:val="bullet"/>
      <w:start w:val="1"/>
    </w:lvl>
  </w:abstractNum>
  <w:abstractNum w:abstractNumId="5">
    <w:nsid w:val="140E0F76"/>
    <w:multiLevelType w:val="hybridMultilevel"/>
    <w:lvl w:ilvl="0">
      <w:lvlJc w:val="left"/>
      <w:lvlText w:val="•"/>
      <w:numFmt w:val="bullet"/>
      <w:start w:val="1"/>
    </w:lvl>
  </w:abstractNum>
  <w:abstractNum w:abstractNumId="6">
    <w:nsid w:val="3352255A"/>
    <w:multiLevelType w:val="hybridMultilevel"/>
    <w:lvl w:ilvl="0">
      <w:lvlJc w:val="left"/>
      <w:lvlText w:val="(%1)"/>
      <w:numFmt w:val="lowerLetter"/>
      <w:start w:val="1"/>
    </w:lvl>
  </w:abstractNum>
  <w:abstractNum w:abstractNumId="7">
    <w:nsid w:val="109CF92E"/>
    <w:multiLevelType w:val="hybridMultilevel"/>
    <w:lvl w:ilvl="0">
      <w:lvlJc w:val="left"/>
      <w:lvlText w:val="(%1)"/>
      <w:numFmt w:val="lowerLetter"/>
      <w:start w:val="1"/>
    </w:lvl>
  </w:abstractNum>
  <w:abstractNum w:abstractNumId="8">
    <w:nsid w:val="DED7263"/>
    <w:multiLevelType w:val="hybridMultilevel"/>
    <w:lvl w:ilvl="0">
      <w:lvlJc w:val="left"/>
      <w:lvlText w:val="(%1)"/>
      <w:numFmt w:val="lowerLetter"/>
      <w:start w:val="1"/>
    </w:lvl>
  </w:abstractNum>
  <w:abstractNum w:abstractNumId="9">
    <w:nsid w:val="7FDCC233"/>
    <w:multiLevelType w:val="hybridMultilevel"/>
    <w:lvl w:ilvl="0">
      <w:lvlJc w:val="left"/>
      <w:lvlText w:val="(%1)"/>
      <w:numFmt w:val="lowerLetter"/>
      <w:start w:val="1"/>
    </w:lvl>
  </w:abstractNum>
  <w:abstractNum w:abstractNumId="10">
    <w:nsid w:val="1BEFD79F"/>
    <w:multiLevelType w:val="hybridMultilevel"/>
    <w:lvl w:ilvl="0">
      <w:lvlJc w:val="left"/>
      <w:lvlText w:val="(%1)"/>
      <w:numFmt w:val="lowerLetter"/>
      <w:start w:val="1"/>
    </w:lvl>
  </w:abstractNum>
  <w:abstractNum w:abstractNumId="11">
    <w:nsid w:val="41A7C4C9"/>
    <w:multiLevelType w:val="hybridMultilevel"/>
    <w:lvl w:ilvl="0">
      <w:lvlJc w:val="left"/>
      <w:lvlText w:val="(%1)"/>
      <w:numFmt w:val="lowerLetter"/>
      <w:start w:val="1"/>
    </w:lvl>
  </w:abstractNum>
  <w:abstractNum w:abstractNumId="12">
    <w:nsid w:val="6B68079A"/>
    <w:multiLevelType w:val="hybridMultilevel"/>
    <w:lvl w:ilvl="0">
      <w:lvlJc w:val="left"/>
      <w:lvlText w:val="(%1)"/>
      <w:numFmt w:val="lowerLetter"/>
      <w:start w:val="1"/>
    </w:lvl>
  </w:abstractNum>
  <w:abstractNum w:abstractNumId="13">
    <w:nsid w:val="4E6AFB66"/>
    <w:multiLevelType w:val="hybridMultilevel"/>
    <w:lvl w:ilvl="0">
      <w:lvlJc w:val="left"/>
      <w:lvlText w:val="•"/>
      <w:numFmt w:val="bullet"/>
      <w:start w:val="1"/>
    </w:lvl>
  </w:abstractNum>
  <w:abstractNum w:abstractNumId="14">
    <w:nsid w:val="25E45D32"/>
    <w:multiLevelType w:val="hybridMultilevel"/>
    <w:lvl w:ilvl="0">
      <w:lvlJc w:val="left"/>
      <w:lvlText w:val="%1"/>
      <w:numFmt w:val="decimal"/>
      <w:start w:val="104"/>
    </w:lvl>
  </w:abstractNum>
  <w:abstractNum w:abstractNumId="15">
    <w:nsid w:val="519B500D"/>
    <w:multiLevelType w:val="hybridMultilevel"/>
    <w:lvl w:ilvl="0">
      <w:lvlJc w:val="left"/>
      <w:lvlText w:val="%1."/>
      <w:numFmt w:val="decimal"/>
      <w:start w:val="1"/>
    </w:lvl>
    <w:lvl w:ilvl="1">
      <w:lvlJc w:val="left"/>
      <w:lvlText w:val="(%2)"/>
      <w:numFmt w:val="lowerLetter"/>
      <w:start w:val="1"/>
    </w:lvl>
  </w:abstractNum>
  <w:abstractNum w:abstractNumId="16">
    <w:nsid w:val="431BD7B7"/>
    <w:multiLevelType w:val="hybridMultilevel"/>
    <w:lvl w:ilvl="0">
      <w:lvlJc w:val="left"/>
      <w:lvlText w:val="%1."/>
      <w:numFmt w:val="decimal"/>
      <w:start w:val="1"/>
    </w:lvl>
    <w:lvl w:ilvl="1">
      <w:lvlJc w:val="left"/>
      <w:lvlText w:val="(%2)"/>
      <w:numFmt w:val="lowerLetter"/>
      <w:start w:val="1"/>
    </w:lvl>
  </w:abstractNum>
  <w:abstractNum w:abstractNumId="17">
    <w:nsid w:val="3F2DBA31"/>
    <w:multiLevelType w:val="hybridMultilevel"/>
    <w:lvl w:ilvl="0">
      <w:lvlJc w:val="left"/>
      <w:lvlText w:val="(%1)"/>
      <w:numFmt w:val="decimal"/>
      <w:start w:val="1"/>
    </w:lvl>
  </w:abstractNum>
  <w:abstractNum w:abstractNumId="18">
    <w:nsid w:val="7C83E45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2" Type="http://schemas.openxmlformats.org/officeDocument/2006/relationships/hyperlink" Target="http://www.sec.gov/Archives/edgar/data/4447/000119312521293154/d135398dex10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2021-11-05T09:21:04Z</dcterms:created>
  <dcterms:modified xsi:type="dcterms:W3CDTF">2021-11-05T09:21:04Z</dcterms:modified>
</cp:coreProperties>
</file>