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20"/>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July 18,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333-43569</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333-150992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333-167076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333-181704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333-204929</w:t>
      </w:r>
    </w:p>
    <w:p>
      <w:pPr>
        <w:spacing w:after="0" w:line="9"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17"/>
          <w:szCs w:val="17"/>
          <w:b w:val="1"/>
          <w:bCs w:val="1"/>
          <w:color w:val="auto"/>
        </w:rPr>
        <w:t>Registration Statement No. 333-219113</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333-257070</w:t>
      </w:r>
    </w:p>
    <w:p>
      <w:pPr>
        <w:spacing w:after="0" w:line="200" w:lineRule="exact"/>
        <w:rPr>
          <w:sz w:val="24"/>
          <w:szCs w:val="24"/>
          <w:color w:val="auto"/>
        </w:rPr>
      </w:pPr>
    </w:p>
    <w:p>
      <w:pPr>
        <w:spacing w:after="0" w:line="21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STATEMENT NO. 333-43569</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333-150992</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333-167076</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333-181704</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333-204929</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333-219113</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333-257070</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Borders>
              <w:bottom w:val="single" w:sz="8" w:color="auto"/>
            </w:tcBorders>
          </w:tcPr>
          <w:p>
            <w:pPr>
              <w:jc w:val="center"/>
              <w:ind w:left="3386"/>
              <w:spacing w:after="0"/>
              <w:rPr>
                <w:sz w:val="20"/>
                <w:szCs w:val="20"/>
                <w:color w:val="auto"/>
              </w:rPr>
            </w:pPr>
            <w:r>
              <w:rPr>
                <w:rFonts w:ascii="Times New Roman" w:cs="Times New Roman" w:eastAsia="Times New Roman" w:hAnsi="Times New Roman"/>
                <w:sz w:val="18"/>
                <w:szCs w:val="18"/>
                <w:b w:val="1"/>
                <w:bCs w:val="1"/>
                <w:i w:val="1"/>
                <w:iCs w:val="1"/>
                <w:color w:val="auto"/>
                <w:w w:val="99"/>
              </w:rPr>
              <w:t>UNDER THE SECURITIES ACT OF 1933</w:t>
            </w:r>
          </w:p>
        </w:tc>
        <w:tc>
          <w:tcPr>
            <w:tcW w:w="3480" w:type="dxa"/>
            <w:vAlign w:val="bottom"/>
            <w:tcBorders>
              <w:bottom w:val="single" w:sz="8" w:color="auto"/>
            </w:tcBorders>
          </w:tcPr>
          <w:p>
            <w:pPr>
              <w:spacing w:after="0"/>
              <w:rPr>
                <w:sz w:val="20"/>
                <w:szCs w:val="20"/>
                <w:color w:val="auto"/>
              </w:rPr>
            </w:pPr>
          </w:p>
        </w:tc>
      </w:tr>
      <w:tr>
        <w:trPr>
          <w:trHeight w:val="525"/>
        </w:trPr>
        <w:tc>
          <w:tcPr>
            <w:tcW w:w="7760" w:type="dxa"/>
            <w:vAlign w:val="bottom"/>
          </w:tcPr>
          <w:p>
            <w:pPr>
              <w:ind w:left="4740"/>
              <w:spacing w:after="0"/>
              <w:rPr>
                <w:sz w:val="20"/>
                <w:szCs w:val="20"/>
                <w:color w:val="auto"/>
              </w:rPr>
            </w:pPr>
            <w:r>
              <w:rPr>
                <w:rFonts w:ascii="Times New Roman" w:cs="Times New Roman" w:eastAsia="Times New Roman" w:hAnsi="Times New Roman"/>
                <w:sz w:val="29"/>
                <w:szCs w:val="29"/>
                <w:b w:val="1"/>
                <w:bCs w:val="1"/>
                <w:color w:val="auto"/>
              </w:rPr>
              <w:t>Hess Corporation</w:t>
            </w:r>
          </w:p>
        </w:tc>
        <w:tc>
          <w:tcPr>
            <w:tcW w:w="3480" w:type="dxa"/>
            <w:vAlign w:val="bottom"/>
          </w:tcPr>
          <w:p>
            <w:pPr>
              <w:spacing w:after="0"/>
              <w:rPr>
                <w:sz w:val="24"/>
                <w:szCs w:val="24"/>
                <w:color w:val="auto"/>
              </w:rPr>
            </w:pPr>
          </w:p>
        </w:tc>
      </w:tr>
      <w:tr>
        <w:trPr>
          <w:trHeight w:val="238"/>
        </w:trPr>
        <w:tc>
          <w:tcPr>
            <w:tcW w:w="7760" w:type="dxa"/>
            <w:vAlign w:val="bottom"/>
          </w:tcPr>
          <w:p>
            <w:pPr>
              <w:jc w:val="center"/>
              <w:ind w:left="340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480" w:type="dxa"/>
            <w:vAlign w:val="bottom"/>
          </w:tcPr>
          <w:p>
            <w:pPr>
              <w:spacing w:after="0"/>
              <w:rPr>
                <w:sz w:val="20"/>
                <w:szCs w:val="20"/>
                <w:color w:val="auto"/>
              </w:rPr>
            </w:pPr>
          </w:p>
        </w:tc>
      </w:tr>
      <w:tr>
        <w:trPr>
          <w:trHeight w:val="414"/>
        </w:trPr>
        <w:tc>
          <w:tcPr>
            <w:tcW w:w="7760" w:type="dxa"/>
            <w:vAlign w:val="bottom"/>
          </w:tcPr>
          <w:p>
            <w:pPr>
              <w:jc w:val="center"/>
              <w:ind w:right="184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8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8"/>
              </w:rPr>
              <w:t>13-4921002</w:t>
            </w:r>
          </w:p>
        </w:tc>
      </w:tr>
      <w:tr>
        <w:trPr>
          <w:trHeight w:val="216"/>
        </w:trPr>
        <w:tc>
          <w:tcPr>
            <w:tcW w:w="7760" w:type="dxa"/>
            <w:vAlign w:val="bottom"/>
          </w:tcPr>
          <w:p>
            <w:pPr>
              <w:jc w:val="center"/>
              <w:ind w:right="1846"/>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48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760" w:type="dxa"/>
            <w:vAlign w:val="bottom"/>
          </w:tcPr>
          <w:p>
            <w:pPr>
              <w:jc w:val="center"/>
              <w:ind w:right="1846"/>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48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7760" w:type="dxa"/>
            <w:vAlign w:val="bottom"/>
          </w:tcPr>
          <w:p>
            <w:pPr>
              <w:jc w:val="center"/>
              <w:ind w:left="3406"/>
              <w:spacing w:after="0"/>
              <w:rPr>
                <w:sz w:val="20"/>
                <w:szCs w:val="20"/>
                <w:color w:val="auto"/>
              </w:rPr>
            </w:pPr>
            <w:r>
              <w:rPr>
                <w:rFonts w:ascii="Times New Roman" w:cs="Times New Roman" w:eastAsia="Times New Roman" w:hAnsi="Times New Roman"/>
                <w:sz w:val="18"/>
                <w:szCs w:val="18"/>
                <w:b w:val="1"/>
                <w:bCs w:val="1"/>
                <w:color w:val="auto"/>
                <w:w w:val="98"/>
              </w:rPr>
              <w:t>1185 Avenue of the Americas,</w:t>
            </w:r>
          </w:p>
        </w:tc>
        <w:tc>
          <w:tcPr>
            <w:tcW w:w="3480" w:type="dxa"/>
            <w:vAlign w:val="bottom"/>
          </w:tcPr>
          <w:p>
            <w:pPr>
              <w:spacing w:after="0"/>
              <w:rPr>
                <w:sz w:val="24"/>
                <w:szCs w:val="24"/>
                <w:color w:val="auto"/>
              </w:rPr>
            </w:pPr>
          </w:p>
        </w:tc>
      </w:tr>
      <w:tr>
        <w:trPr>
          <w:trHeight w:val="216"/>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8"/>
              </w:rPr>
              <w:t>New York, New York 10036</w:t>
            </w:r>
          </w:p>
        </w:tc>
        <w:tc>
          <w:tcPr>
            <w:tcW w:w="3480" w:type="dxa"/>
            <w:vAlign w:val="bottom"/>
          </w:tcPr>
          <w:p>
            <w:pPr>
              <w:spacing w:after="0"/>
              <w:rPr>
                <w:sz w:val="18"/>
                <w:szCs w:val="18"/>
                <w:color w:val="auto"/>
              </w:rPr>
            </w:pPr>
          </w:p>
        </w:tc>
      </w:tr>
      <w:tr>
        <w:trPr>
          <w:trHeight w:val="220"/>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9"/>
              </w:rPr>
              <w:t>(212) 997-8500</w:t>
            </w:r>
          </w:p>
        </w:tc>
        <w:tc>
          <w:tcPr>
            <w:tcW w:w="3480" w:type="dxa"/>
            <w:vAlign w:val="bottom"/>
          </w:tcPr>
          <w:p>
            <w:pPr>
              <w:spacing w:after="0"/>
              <w:rPr>
                <w:sz w:val="19"/>
                <w:szCs w:val="19"/>
                <w:color w:val="auto"/>
              </w:rPr>
            </w:pPr>
          </w:p>
        </w:tc>
      </w:tr>
      <w:tr>
        <w:trPr>
          <w:trHeight w:val="234"/>
        </w:trPr>
        <w:tc>
          <w:tcPr>
            <w:tcW w:w="7760" w:type="dxa"/>
            <w:vAlign w:val="bottom"/>
          </w:tcPr>
          <w:p>
            <w:pPr>
              <w:jc w:val="center"/>
              <w:ind w:left="3406"/>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480" w:type="dxa"/>
            <w:vAlign w:val="bottom"/>
          </w:tcPr>
          <w:p>
            <w:pPr>
              <w:spacing w:after="0"/>
              <w:rPr>
                <w:sz w:val="20"/>
                <w:szCs w:val="20"/>
                <w:color w:val="auto"/>
              </w:rPr>
            </w:pPr>
          </w:p>
        </w:tc>
      </w:tr>
      <w:tr>
        <w:trPr>
          <w:trHeight w:val="410"/>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9"/>
              </w:rPr>
              <w:t>Hess Corporation Employees’ Savings Plan</w:t>
            </w:r>
          </w:p>
        </w:tc>
        <w:tc>
          <w:tcPr>
            <w:tcW w:w="3480" w:type="dxa"/>
            <w:vAlign w:val="bottom"/>
          </w:tcPr>
          <w:p>
            <w:pPr>
              <w:spacing w:after="0"/>
              <w:rPr>
                <w:sz w:val="24"/>
                <w:szCs w:val="24"/>
                <w:color w:val="auto"/>
              </w:rPr>
            </w:pPr>
          </w:p>
        </w:tc>
      </w:tr>
      <w:tr>
        <w:trPr>
          <w:trHeight w:val="216"/>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9"/>
              </w:rPr>
              <w:t>Hess Corporation 2008 Long-Term Incentive Plan</w:t>
            </w:r>
          </w:p>
        </w:tc>
        <w:tc>
          <w:tcPr>
            <w:tcW w:w="3480" w:type="dxa"/>
            <w:vAlign w:val="bottom"/>
          </w:tcPr>
          <w:p>
            <w:pPr>
              <w:spacing w:after="0"/>
              <w:rPr>
                <w:sz w:val="18"/>
                <w:szCs w:val="18"/>
                <w:color w:val="auto"/>
              </w:rPr>
            </w:pPr>
          </w:p>
        </w:tc>
      </w:tr>
      <w:tr>
        <w:trPr>
          <w:trHeight w:val="220"/>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9"/>
              </w:rPr>
              <w:t>Hess Corporation 2017 Long-Term Incentive Plan</w:t>
            </w:r>
          </w:p>
        </w:tc>
        <w:tc>
          <w:tcPr>
            <w:tcW w:w="3480" w:type="dxa"/>
            <w:vAlign w:val="bottom"/>
          </w:tcPr>
          <w:p>
            <w:pPr>
              <w:spacing w:after="0"/>
              <w:rPr>
                <w:sz w:val="19"/>
                <w:szCs w:val="19"/>
                <w:color w:val="auto"/>
              </w:rPr>
            </w:pPr>
          </w:p>
        </w:tc>
      </w:tr>
      <w:tr>
        <w:trPr>
          <w:trHeight w:val="234"/>
        </w:trPr>
        <w:tc>
          <w:tcPr>
            <w:tcW w:w="7760" w:type="dxa"/>
            <w:vAlign w:val="bottom"/>
          </w:tcPr>
          <w:p>
            <w:pPr>
              <w:jc w:val="center"/>
              <w:ind w:left="3406"/>
              <w:spacing w:after="0"/>
              <w:rPr>
                <w:sz w:val="20"/>
                <w:szCs w:val="20"/>
                <w:color w:val="auto"/>
              </w:rPr>
            </w:pPr>
            <w:r>
              <w:rPr>
                <w:rFonts w:ascii="Times New Roman" w:cs="Times New Roman" w:eastAsia="Times New Roman" w:hAnsi="Times New Roman"/>
                <w:sz w:val="18"/>
                <w:szCs w:val="18"/>
                <w:color w:val="auto"/>
                <w:w w:val="98"/>
              </w:rPr>
              <w:t>(Full Title of Plan)</w:t>
            </w:r>
          </w:p>
        </w:tc>
        <w:tc>
          <w:tcPr>
            <w:tcW w:w="34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Mary A. Francis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Secretary and Chief Governance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Chevron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5001 Executive Parkway,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Ramon, CA 94583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(925) 842-1000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Scott A. Barshay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Kyle T. Seifried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 Weiss, Rifkind, Wharton &amp; Garrison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1285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10019-6064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373-3000</w:t>
      </w:r>
    </w:p>
    <w:p>
      <w:pPr>
        <w:spacing w:after="0" w:line="207"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0"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2100" w:space="720"/>
            <w:col w:w="2100" w:space="720"/>
            <w:col w:w="4220" w:space="720"/>
            <w:col w:w="660"/>
          </w:cols>
          <w:pgMar w:left="320" w:top="468" w:right="339" w:bottom="0" w:gutter="0" w:footer="0" w:header="0"/>
          <w:type w:val="continuous"/>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2100" w:space="720"/>
            <w:col w:w="2100" w:space="720"/>
            <w:col w:w="4220" w:space="720"/>
            <w:col w:w="660"/>
          </w:cols>
          <w:pgMar w:left="320" w:top="468" w:right="339" w:bottom="0" w:gutter="0" w:footer="0" w:header="0"/>
          <w:type w:val="continuous"/>
        </w:sectPr>
      </w:pPr>
    </w:p>
    <w:bookmarkStart w:id="1" w:name="page2"/>
    <w:bookmarkEnd w:id="1"/>
    <w:p>
      <w:pPr>
        <w:ind w:left="5640"/>
        <w:spacing w:after="0" w:line="207" w:lineRule="exact"/>
        <w:tabs>
          <w:tab w:leader="none" w:pos="105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Hess Corporation, a Delaware corporation (the “Registrant”), is filing with the U.S. Securities and Exchange Commission (the “SEC”) these post-effective amendments (these “Post-Effective Amendments”) to deregister any and all shares of the Registrant’s common stock, par value $1.00 per share (the “Common Stock”), previously registered under the following Registration Statements on Form S-8 (the “Registration Statements”) that remain unsold or otherwise unissued under each such Registration Statement as of the date hereof (note that the share numbers listed below do not take into account corporate actions taken in the interim):</w:t>
      </w:r>
    </w:p>
    <w:p>
      <w:pPr>
        <w:spacing w:after="0" w:line="183" w:lineRule="exact"/>
        <w:rPr>
          <w:sz w:val="20"/>
          <w:szCs w:val="20"/>
          <w:color w:val="auto"/>
        </w:rPr>
      </w:pPr>
    </w:p>
    <w:p>
      <w:pPr>
        <w:ind w:left="980" w:right="4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333-43569, filed with the SEC on December 31, 1997, registering 2,000,000 shares of Common Stock issuable pursuant to the Employees’ Savings And Stock Bonus Plan (“1997 Plan”), as amended by a post-effective amendment filed on June 20, 2007, registering 1,800,000 shares of Common Stock issuable pursuant to the 1997 Plan;</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333-150992, filed with the SEC on May 16, 2008, registering 13,000,000 shares of Common Stock issuable pursuant to the 2008 Long-Term Incentive Plan, as amended and restated (the “2008 Plan”), as amended by a post-effective amendment filed on June 30, 2017;</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333-167076, filed with the SEC on May 25, 2010, registering 8,000,000 shares of Common Stock issuable pursuant to the 2008 Plan, as amended by a post-effective amendment filed on June 30, 2017;</w:t>
      </w:r>
    </w:p>
    <w:p>
      <w:pPr>
        <w:spacing w:after="0" w:line="16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333-181704, filed with the SEC on May 25, 2012, registering 8,000,000 shares of Common Stock issuable pursuant to the 2008 Plan, as amended by a post-effective amendment filed on June 30, 2017;</w:t>
      </w:r>
    </w:p>
    <w:p>
      <w:pPr>
        <w:spacing w:after="0" w:line="16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333-204929, filed with the SEC on June 12, 2015, registering 9,000,000 shares of Common Stock issuable pursuant to the 2008 Plan, as amended by a post-effective amendment filed on June 30, 2017;</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333-219113, filed with the SEC on June 30, 2017, registering 13,500,000 shares of Common Stock issuable pursuant to the 2017 Long-Term Incentive Plan (the “2017 Plan”);</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333-257070, filed with the SEC on June 14, 2021, registering 12,000,000 shares of Common Stock issuable pursuant to the 2017 Plan.</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July 18, 2025, pursuant to the Agreement and Plan of Merger, dated as of October 22, 2023 (the “Merger Agreement”), by and among Chevron Corporation (“Chevron”), Yankee Merger Sub Inc. (“Merger Sub”), and the Registrant, Merger Sub merged with and into the Registrant (the “Merger”), with the Registrant surviving the Merger as a direct, wholly owned subsidiary of Chevron. These Post-Effective Amendments are being filed as a result of the Merger.</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Registrant, by filing these Post-Effective Amendments, hereby terminates the effectiveness of the Registration Statements and removes from registration any and all shares of Common Stock registered but unsold or otherwise unissued under the Registration Statements as of the date hereof. This filing is made in accordance with an undertaking made by the Registrant in Part II of each Registration Statement to remove from registration, by means of a post-effective amendment, any securities that had been registered for issuance but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Houston, State of Texas, on July 18, 2025. No other person is required to sign these Post-Effective Amendments to the Registration Statements in reliance on Rule 478 of the Securities Act of 1933, as amended.</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Hess Corporation</w:t>
      </w:r>
    </w:p>
    <w:p>
      <w:pPr>
        <w:spacing w:after="0" w:line="229"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Kari H. Endries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2417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Name:</w:t>
        <w:tab/>
        <w:t>Kari H. Endries</w:t>
      </w:r>
    </w:p>
    <w:p>
      <w:pPr>
        <w:spacing w:after="0" w:line="27"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2025-07-18T08:27:54Z</dcterms:created>
  <dcterms:modified xsi:type="dcterms:W3CDTF">2025-07-18T08:27:54Z</dcterms:modified>
</cp:coreProperties>
</file>