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8677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867791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CHEVRON CORP</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1400 SMITH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Hess Midstream LP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HESM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03/04/2026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172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319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19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45" w:lineRule="exact"/>
        <w:rPr>
          <w:sz w:val="24"/>
          <w:szCs w:val="24"/>
          <w:color w:val="auto"/>
        </w:rPr>
      </w:pPr>
    </w:p>
    <w:p>
      <w:pPr>
        <w:sectPr>
          <w:pgSz w:w="11900" w:h="16838" w:orient="portrait"/>
          <w:cols w:equalWidth="0" w:num="3">
            <w:col w:w="3180" w:space="720"/>
            <w:col w:w="3103" w:space="720"/>
            <w:col w:w="3357"/>
          </w:cols>
          <w:pgMar w:left="460" w:top="217" w:right="359" w:bottom="0" w:gutter="0" w:footer="0" w:header="0"/>
          <w:type w:val="continuous"/>
        </w:sectPr>
      </w:pPr>
    </w:p>
    <w:p>
      <w:pPr>
        <w:spacing w:after="0" w:line="19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77002</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1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406" w:lineRule="exact"/>
        <w:rPr>
          <w:sz w:val="24"/>
          <w:szCs w:val="24"/>
          <w:color w:val="auto"/>
        </w:rPr>
      </w:pPr>
    </w:p>
    <w:p>
      <w:pPr>
        <w:sectPr>
          <w:pgSz w:w="11900" w:h="16838" w:orient="portrait"/>
          <w:cols w:equalWidth="0" w:num="2">
            <w:col w:w="3740" w:space="16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84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80" w:type="dxa"/>
            <w:vAlign w:val="bottom"/>
            <w:gridSpan w:val="2"/>
          </w:tcPr>
          <w:p>
            <w:pPr>
              <w:ind w:left="6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w w:val="93"/>
              </w:rPr>
              <w:t>(A) or</w:t>
            </w:r>
          </w:p>
        </w:tc>
        <w:tc>
          <w:tcPr>
            <w:tcW w:w="6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4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B Shares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80" w:type="dxa"/>
            <w:vAlign w:val="bottom"/>
            <w:gridSpan w:val="2"/>
            <w:vMerge w:val="restart"/>
          </w:tcPr>
          <w:p>
            <w:pPr>
              <w:ind w:left="760"/>
              <w:spacing w:after="0"/>
              <w:rPr>
                <w:sz w:val="20"/>
                <w:szCs w:val="20"/>
                <w:color w:val="auto"/>
              </w:rPr>
            </w:pPr>
            <w:r>
              <w:rPr>
                <w:rFonts w:ascii="Times New Roman" w:cs="Times New Roman" w:eastAsia="Times New Roman" w:hAnsi="Times New Roman"/>
                <w:sz w:val="17"/>
                <w:szCs w:val="17"/>
                <w:color w:val="0000FF"/>
              </w:rPr>
              <w:t>03/04/2026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(1)</w:t>
            </w: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455,811</w:t>
            </w: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gridSpan w:val="3"/>
            <w:vMerge w:val="restart"/>
          </w:tcPr>
          <w:p>
            <w:pPr>
              <w:jc w:val="right"/>
              <w:ind w:right="202"/>
              <w:spacing w:after="0"/>
              <w:rPr>
                <w:sz w:val="20"/>
                <w:szCs w:val="20"/>
                <w:color w:val="auto"/>
              </w:rPr>
            </w:pPr>
            <w:r>
              <w:rPr>
                <w:rFonts w:ascii="Times New Roman" w:cs="Times New Roman" w:eastAsia="Times New Roman" w:hAnsi="Times New Roman"/>
                <w:sz w:val="17"/>
                <w:szCs w:val="17"/>
                <w:color w:val="0000FF"/>
              </w:rPr>
              <w:t>77,827,485</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40" w:type="dxa"/>
            <w:vAlign w:val="bottom"/>
            <w:gridSpan w:val="5"/>
            <w:vMerge w:val="continue"/>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4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Shares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gridSpan w:val="3"/>
            <w:vMerge w:val="restart"/>
          </w:tcPr>
          <w:p>
            <w:pPr>
              <w:jc w:val="right"/>
              <w:ind w:right="322"/>
              <w:spacing w:after="0"/>
              <w:rPr>
                <w:sz w:val="20"/>
                <w:szCs w:val="20"/>
                <w:color w:val="auto"/>
              </w:rPr>
            </w:pPr>
            <w:r>
              <w:rPr>
                <w:rFonts w:ascii="Times New Roman" w:cs="Times New Roman" w:eastAsia="Times New Roman" w:hAnsi="Times New Roman"/>
                <w:sz w:val="17"/>
                <w:szCs w:val="17"/>
                <w:color w:val="0000FF"/>
              </w:rPr>
              <w:t>449,000</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5"/>
            <w:vMerge w:val="continue"/>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gridSpan w:val="12"/>
          </w:tcPr>
          <w:p>
            <w:pPr>
              <w:ind w:left="8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360" w:type="dxa"/>
            <w:vAlign w:val="bottom"/>
            <w:gridSpan w:val="9"/>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 (Instr. 3</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4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Opco</w:t>
            </w:r>
          </w:p>
        </w:tc>
        <w:tc>
          <w:tcPr>
            <w:tcW w:w="52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4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455,811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3"/>
            <w:vMerge w:val="restart"/>
          </w:tcPr>
          <w:p>
            <w:pPr>
              <w:ind w:left="60"/>
              <w:spacing w:after="0" w:line="103" w:lineRule="exact"/>
              <w:rPr>
                <w:sz w:val="20"/>
                <w:szCs w:val="20"/>
                <w:color w:val="auto"/>
              </w:rPr>
            </w:pPr>
            <w:r>
              <w:rPr>
                <w:rFonts w:ascii="Times New Roman" w:cs="Times New Roman" w:eastAsia="Times New Roman" w:hAnsi="Times New Roman"/>
                <w:sz w:val="11"/>
                <w:szCs w:val="11"/>
                <w:color w:val="0000FF"/>
              </w:rPr>
              <w:t>Class B</w:t>
            </w:r>
          </w:p>
        </w:tc>
        <w:tc>
          <w:tcPr>
            <w:tcW w:w="5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280"/>
              <w:spacing w:after="0" w:line="103" w:lineRule="exact"/>
              <w:rPr>
                <w:sz w:val="20"/>
                <w:szCs w:val="20"/>
                <w:color w:val="auto"/>
              </w:rPr>
            </w:pPr>
            <w:r>
              <w:rPr>
                <w:rFonts w:ascii="Times New Roman" w:cs="Times New Roman" w:eastAsia="Times New Roman" w:hAnsi="Times New Roman"/>
                <w:sz w:val="11"/>
                <w:szCs w:val="11"/>
                <w:color w:val="0000FF"/>
              </w:rPr>
              <w:t>03/04/2026</w:t>
            </w:r>
          </w:p>
        </w:tc>
        <w:tc>
          <w:tcPr>
            <w:tcW w:w="1060" w:type="dxa"/>
            <w:vAlign w:val="bottom"/>
          </w:tcPr>
          <w:p>
            <w:pPr>
              <w:spacing w:after="0"/>
              <w:rPr>
                <w:sz w:val="4"/>
                <w:szCs w:val="4"/>
                <w:color w:val="auto"/>
              </w:rPr>
            </w:pPr>
          </w:p>
        </w:tc>
        <w:tc>
          <w:tcPr>
            <w:tcW w:w="620" w:type="dxa"/>
            <w:vAlign w:val="bottom"/>
            <w:vMerge w:val="restart"/>
          </w:tcPr>
          <w:p>
            <w:pPr>
              <w:ind w:left="160"/>
              <w:spacing w:after="0" w:line="103" w:lineRule="exact"/>
              <w:rPr>
                <w:sz w:val="20"/>
                <w:szCs w:val="20"/>
                <w:color w:val="auto"/>
              </w:rPr>
            </w:pPr>
            <w:r>
              <w:rPr>
                <w:rFonts w:ascii="Times New Roman" w:cs="Times New Roman" w:eastAsia="Times New Roman" w:hAnsi="Times New Roman"/>
                <w:sz w:val="11"/>
                <w:szCs w:val="11"/>
                <w:color w:val="0000FF"/>
              </w:rPr>
              <w:t>D</w:t>
            </w: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vMerge w:val="restart"/>
          </w:tcPr>
          <w:p>
            <w:pPr>
              <w:ind w:left="440"/>
              <w:spacing w:after="0" w:line="103" w:lineRule="exact"/>
              <w:rPr>
                <w:sz w:val="20"/>
                <w:szCs w:val="20"/>
                <w:color w:val="auto"/>
              </w:rPr>
            </w:pPr>
            <w:r>
              <w:rPr>
                <w:rFonts w:ascii="Times New Roman" w:cs="Times New Roman" w:eastAsia="Times New Roman" w:hAnsi="Times New Roman"/>
                <w:sz w:val="11"/>
                <w:szCs w:val="11"/>
                <w:color w:val="0000FF"/>
              </w:rPr>
              <w:t>455,811</w:t>
            </w:r>
          </w:p>
        </w:tc>
        <w:tc>
          <w:tcPr>
            <w:tcW w:w="7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480" w:type="dxa"/>
            <w:vAlign w:val="bottom"/>
            <w:vMerge w:val="restart"/>
          </w:tcPr>
          <w:p>
            <w:pPr>
              <w:ind w:left="160"/>
              <w:spacing w:after="0" w:line="103" w:lineRule="exact"/>
              <w:rPr>
                <w:sz w:val="20"/>
                <w:szCs w:val="20"/>
                <w:color w:val="auto"/>
              </w:rPr>
            </w:pPr>
            <w:r>
              <w:rPr>
                <w:rFonts w:ascii="Times New Roman" w:cs="Times New Roman" w:eastAsia="Times New Roman" w:hAnsi="Times New Roman"/>
                <w:sz w:val="11"/>
                <w:szCs w:val="11"/>
                <w:color w:val="0000FF"/>
              </w:rPr>
              <w:t>A</w:t>
            </w:r>
          </w:p>
        </w:tc>
        <w:tc>
          <w:tcPr>
            <w:tcW w:w="620" w:type="dxa"/>
            <w:vAlign w:val="bottom"/>
            <w:vMerge w:val="continue"/>
          </w:tcPr>
          <w:p>
            <w:pPr>
              <w:spacing w:after="0"/>
              <w:rPr>
                <w:sz w:val="4"/>
                <w:szCs w:val="4"/>
                <w:color w:val="auto"/>
              </w:rPr>
            </w:pPr>
          </w:p>
        </w:tc>
        <w:tc>
          <w:tcPr>
            <w:tcW w:w="740" w:type="dxa"/>
            <w:vAlign w:val="bottom"/>
            <w:gridSpan w:val="2"/>
            <w:vMerge w:val="restart"/>
          </w:tcPr>
          <w:p>
            <w:pPr>
              <w:ind w:left="180"/>
              <w:spacing w:after="0" w:line="10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39.49</w:t>
            </w:r>
          </w:p>
        </w:tc>
        <w:tc>
          <w:tcPr>
            <w:tcW w:w="880" w:type="dxa"/>
            <w:vAlign w:val="bottom"/>
            <w:gridSpan w:val="2"/>
            <w:vMerge w:val="restart"/>
          </w:tcPr>
          <w:p>
            <w:pPr>
              <w:ind w:left="140"/>
              <w:spacing w:after="0" w:line="103" w:lineRule="exact"/>
              <w:rPr>
                <w:sz w:val="20"/>
                <w:szCs w:val="20"/>
                <w:color w:val="auto"/>
              </w:rPr>
            </w:pPr>
            <w:r>
              <w:rPr>
                <w:rFonts w:ascii="Times New Roman" w:cs="Times New Roman" w:eastAsia="Times New Roman" w:hAnsi="Times New Roman"/>
                <w:sz w:val="11"/>
                <w:szCs w:val="11"/>
                <w:color w:val="0000FF"/>
              </w:rPr>
              <w:t>77,827,485</w:t>
            </w:r>
          </w:p>
        </w:tc>
        <w:tc>
          <w:tcPr>
            <w:tcW w:w="620" w:type="dxa"/>
            <w:vAlign w:val="bottom"/>
            <w:vMerge w:val="restart"/>
          </w:tcPr>
          <w:p>
            <w:pPr>
              <w:ind w:left="360"/>
              <w:spacing w:after="0" w:line="103" w:lineRule="exact"/>
              <w:rPr>
                <w:sz w:val="20"/>
                <w:szCs w:val="20"/>
                <w:color w:val="auto"/>
              </w:rPr>
            </w:pPr>
            <w:r>
              <w:rPr>
                <w:rFonts w:ascii="Times New Roman" w:cs="Times New Roman" w:eastAsia="Times New Roman" w:hAnsi="Times New Roman"/>
                <w:sz w:val="11"/>
                <w:szCs w:val="11"/>
                <w:color w:val="0000FF"/>
              </w:rPr>
              <w:t>I</w:t>
            </w:r>
          </w:p>
        </w:tc>
        <w:tc>
          <w:tcPr>
            <w:tcW w:w="12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Borders>
              <w:right w:val="single" w:sz="8" w:color="2C2C2C"/>
            </w:tcBorders>
            <w:gridSpan w:val="3"/>
          </w:tcPr>
          <w:p>
            <w:pPr>
              <w:ind w:left="80"/>
              <w:spacing w:after="0" w:line="57"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Shares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gridSpan w:val="2"/>
          </w:tcPr>
          <w:p>
            <w:pPr>
              <w:spacing w:after="0"/>
              <w:rPr>
                <w:sz w:val="7"/>
                <w:szCs w:val="7"/>
                <w:color w:val="auto"/>
              </w:rPr>
            </w:pPr>
          </w:p>
        </w:tc>
        <w:tc>
          <w:tcPr>
            <w:tcW w:w="480" w:type="dxa"/>
            <w:vAlign w:val="bottom"/>
            <w:tcBorders>
              <w:bottom w:val="single" w:sz="8" w:color="2C2C2C"/>
            </w:tcBorders>
            <w:gridSpan w:val="2"/>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2580" w:type="dxa"/>
            <w:vAlign w:val="bottom"/>
            <w:tcBorders>
              <w:top w:val="single" w:sz="8" w:color="2C2C2C"/>
            </w:tcBorders>
            <w:gridSpan w:val="7"/>
          </w:tcPr>
          <w:p>
            <w:pPr>
              <w:ind w:left="60"/>
              <w:spacing w:after="0" w:line="232"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00" w:type="dxa"/>
            <w:vAlign w:val="bottom"/>
            <w:gridSpan w:val="6"/>
          </w:tcPr>
          <w:p>
            <w:pPr>
              <w:ind w:left="20"/>
              <w:spacing w:after="0" w:line="21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CHEVRON CORP</w:t>
              </w:r>
            </w:hyperlink>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520" w:type="dxa"/>
            <w:vAlign w:val="bottom"/>
            <w:tcBorders>
              <w:top w:val="single" w:sz="8" w:color="0000EE"/>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2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0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1400 SMITH STREET</w:t>
            </w:r>
          </w:p>
        </w:tc>
        <w:tc>
          <w:tcPr>
            <w:tcW w:w="10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TX</w:t>
            </w:r>
          </w:p>
        </w:tc>
        <w:tc>
          <w:tcPr>
            <w:tcW w:w="10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77002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2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gridSpan w:val="2"/>
          </w:tcPr>
          <w:p>
            <w:pPr>
              <w:spacing w:after="0"/>
              <w:rPr>
                <w:sz w:val="7"/>
                <w:szCs w:val="7"/>
                <w:color w:val="auto"/>
              </w:rPr>
            </w:pPr>
          </w:p>
        </w:tc>
        <w:tc>
          <w:tcPr>
            <w:tcW w:w="480" w:type="dxa"/>
            <w:vAlign w:val="bottom"/>
            <w:tcBorders>
              <w:bottom w:val="single" w:sz="8" w:color="2C2C2C"/>
            </w:tcBorders>
            <w:gridSpan w:val="2"/>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ind w:left="20"/>
              <w:spacing w:after="0" w:line="219"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HESS CORP</w:t>
              </w:r>
            </w:hyperlink>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520" w:type="dxa"/>
            <w:vAlign w:val="bottom"/>
            <w:tcBorders>
              <w:top w:val="single" w:sz="8" w:color="0000EE"/>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2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0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1400 SMITH STREET</w:t>
            </w:r>
          </w:p>
        </w:tc>
        <w:tc>
          <w:tcPr>
            <w:tcW w:w="10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TX</w:t>
            </w:r>
          </w:p>
        </w:tc>
        <w:tc>
          <w:tcPr>
            <w:tcW w:w="10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77002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2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-4914900</wp:posOffset>
            </wp:positionV>
            <wp:extent cx="29210" cy="17716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210" cy="177165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ectPr>
          <w:pgSz w:w="11900" w:h="16838" w:orient="portrait"/>
          <w:cols w:equalWidth="0" w:num="1">
            <w:col w:w="11080"/>
          </w:cols>
          <w:pgMar w:left="460" w:top="217" w:right="359" w:bottom="0" w:gutter="0" w:footer="0" w:header="0"/>
          <w:type w:val="continuous"/>
        </w:sectPr>
      </w:pPr>
    </w:p>
    <w:p>
      <w:pPr>
        <w:ind w:left="120"/>
        <w:spacing w:after="0"/>
        <w:rPr>
          <w:rFonts w:ascii="Times New Roman" w:cs="Times New Roman" w:eastAsia="Times New Roman" w:hAnsi="Times New Roman"/>
          <w:sz w:val="20"/>
          <w:szCs w:val="20"/>
          <w:u w:val="single" w:color="auto"/>
          <w:color w:val="0000EE"/>
        </w:rPr>
      </w:pPr>
      <w:hyperlink r:id="rId18">
        <w:r>
          <w:rPr>
            <w:rFonts w:ascii="Times New Roman" w:cs="Times New Roman" w:eastAsia="Times New Roman" w:hAnsi="Times New Roman"/>
            <w:sz w:val="20"/>
            <w:szCs w:val="20"/>
            <w:u w:val="single" w:color="auto"/>
            <w:color w:val="0000EE"/>
          </w:rPr>
          <w:t>Hess Investments North Dakota LLC</w:t>
        </w:r>
      </w:hyperlink>
    </w:p>
    <w:p>
      <w:pPr>
        <w:sectPr>
          <w:pgSz w:w="11900" w:h="16838" w:orient="portrait"/>
          <w:cols w:equalWidth="0" w:num="1">
            <w:col w:w="11080"/>
          </w:cols>
          <w:pgMar w:left="460" w:top="217"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(Last)</w:t>
            </w:r>
          </w:p>
        </w:tc>
        <w:tc>
          <w:tcPr>
            <w:tcW w:w="1200" w:type="dxa"/>
            <w:vAlign w:val="bottom"/>
          </w:tcPr>
          <w:p>
            <w:pPr>
              <w:ind w:left="30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1400 SMITH STREET</w:t>
            </w:r>
          </w:p>
        </w:tc>
        <w:tc>
          <w:tcPr>
            <w:tcW w:w="186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860" w:type="dxa"/>
            <w:vAlign w:val="bottom"/>
            <w:tcBorders>
              <w:bottom w:val="single" w:sz="8" w:color="9A9A9A"/>
            </w:tcBorders>
          </w:tcPr>
          <w:p>
            <w:pPr>
              <w:spacing w:after="0"/>
              <w:rPr>
                <w:sz w:val="17"/>
                <w:szCs w:val="17"/>
                <w:color w:val="auto"/>
              </w:rPr>
            </w:pPr>
          </w:p>
        </w:tc>
      </w:tr>
      <w:tr>
        <w:trPr>
          <w:trHeight w:val="25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2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77002</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86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1200" w:type="dxa"/>
            <w:vAlign w:val="bottom"/>
          </w:tcPr>
          <w:p>
            <w:pPr>
              <w:ind w:left="3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2812415" cy="1102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12415" cy="110299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right="80" w:firstLine="2"/>
        <w:spacing w:after="0" w:line="256"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cancellation for no consideration of 455,811 Class B Shares in connection with Hess Midstream Operations LP's repurchase of 455,811 Opco Class B Units from Hess Investments North Dakota LLC ("HINDL") and the subsequent cancellation of such Opco Class B Units.</w:t>
      </w:r>
    </w:p>
    <w:p>
      <w:pPr>
        <w:spacing w:after="0" w:line="16" w:lineRule="exact"/>
        <w:rPr>
          <w:rFonts w:ascii="Times New Roman" w:cs="Times New Roman" w:eastAsia="Times New Roman" w:hAnsi="Times New Roman"/>
          <w:sz w:val="13"/>
          <w:szCs w:val="13"/>
          <w:color w:val="008000"/>
        </w:rPr>
      </w:pPr>
    </w:p>
    <w:p>
      <w:pPr>
        <w:ind w:firstLine="2"/>
        <w:spacing w:after="0" w:line="242"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held by HINDL. HINDL is a direct, wholly owned subsidiary of Hess Corporation ("Hess"), which is a direct, wholly owned subsidiary of Chevron Corporation ("Chevron"). As a result, Chevron and Hess may be deemed to beneficially own the securities held of record by HINDL. Chevron and Hess disclaim beneficial ownership of such securities except to the extent of their pecuniary interest therein.</w:t>
      </w:r>
    </w:p>
    <w:p>
      <w:pPr>
        <w:spacing w:after="0" w:line="25"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Opco Class B Units may be converted at any time into Class A Shares on a one-to-one basis and have no expiration date.</w:t>
      </w:r>
    </w:p>
    <w:p>
      <w:pPr>
        <w:sectPr>
          <w:pgSz w:w="11900" w:h="16838" w:orient="portrait"/>
          <w:cols w:equalWidth="0" w:num="1">
            <w:col w:w="10860"/>
          </w:cols>
          <w:pgMar w:left="500" w:top="140" w:right="539" w:bottom="1440" w:gutter="0" w:footer="0" w:header="0"/>
        </w:sectPr>
      </w:pPr>
    </w:p>
    <w:p>
      <w:pPr>
        <w:spacing w:after="0" w:line="7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Hess Investments North Dakota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-1905</wp:posOffset>
            </wp:positionV>
            <wp:extent cx="13582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LLC, By: /s/ Kari H. Endries,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12611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611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8197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819785" cy="8255"/>
                    </a:xfrm>
                    <a:prstGeom prst="rect">
                      <a:avLst/>
                    </a:prstGeom>
                    <a:noFill/>
                  </pic:spPr>
                </pic:pic>
              </a:graphicData>
            </a:graphic>
          </wp:anchor>
        </w:drawing>
      </w:r>
    </w:p>
    <w:p>
      <w:pPr>
        <w:spacing w:after="0" w:line="3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Hess Corporation, By: /s/ Kari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-8890</wp:posOffset>
            </wp:positionV>
            <wp:extent cx="1299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99210"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 Endries, Vice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8197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819785" cy="8255"/>
                    </a:xfrm>
                    <a:prstGeom prst="rect">
                      <a:avLst/>
                    </a:prstGeom>
                    <a:noFill/>
                  </pic:spPr>
                </pic:pic>
              </a:graphicData>
            </a:graphic>
          </wp:anchor>
        </w:drawing>
      </w:r>
    </w:p>
    <w:p>
      <w:pPr>
        <w:spacing w:after="0" w:line="3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Chevron Corporation,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-8890</wp:posOffset>
            </wp:positionV>
            <wp:extent cx="12433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Jessica G. Cauley,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11918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1918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4025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4025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03/04/2026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4857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03/04/2026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4857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03/04/2026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4857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81" w:lineRule="exact"/>
        <w:rPr>
          <w:sz w:val="20"/>
          <w:szCs w:val="20"/>
          <w:color w:val="auto"/>
        </w:rPr>
      </w:pPr>
    </w:p>
    <w:p>
      <w:pPr>
        <w:sectPr>
          <w:pgSz w:w="11900" w:h="16838" w:orient="portrait"/>
          <w:cols w:equalWidth="0" w:num="2">
            <w:col w:w="8700" w:space="60"/>
            <w:col w:w="2100"/>
          </w:cols>
          <w:pgMar w:left="500" w:top="140" w:right="53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00"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40"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13" Type="http://schemas.openxmlformats.org/officeDocument/2006/relationships/hyperlink" Target="http://www.sec.gov/cgi-bin/browse-edgar?action=getcompany&amp;CIK=0000093410" TargetMode="External"/><Relationship Id="rId14" Type="http://schemas.openxmlformats.org/officeDocument/2006/relationships/hyperlink" Target="http://www.sec.gov/cgi-bin/browse-edgar?action=getcompany&amp;CIK=0001789832" TargetMode="External"/><Relationship Id="rId16" Type="http://schemas.openxmlformats.org/officeDocument/2006/relationships/hyperlink" Target="http://www.sec.gov/cgi-bin/browse-edgar?action=getcompany&amp;CIK=0000004447" TargetMode="External"/><Relationship Id="rId18" Type="http://schemas.openxmlformats.org/officeDocument/2006/relationships/hyperlink" Target="http://www.sec.gov/cgi-bin/browse-edgar?action=getcompany&amp;CIK=00017023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2026-03-04T16:58:29Z</dcterms:created>
  <dcterms:modified xsi:type="dcterms:W3CDTF">2026-03-04T16:58:29Z</dcterms:modified>
</cp:coreProperties>
</file>