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2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July 18,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333-43569</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333-150992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333-167076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333-181704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333-204929</w:t>
      </w:r>
    </w:p>
    <w:p>
      <w:pPr>
        <w:spacing w:after="0" w:line="9"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333-219113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333-257070</w:t>
      </w:r>
    </w:p>
    <w:p>
      <w:pPr>
        <w:spacing w:after="0" w:line="200" w:lineRule="exact"/>
        <w:rPr>
          <w:sz w:val="24"/>
          <w:szCs w:val="24"/>
          <w:color w:val="auto"/>
        </w:rPr>
      </w:pPr>
    </w:p>
    <w:p>
      <w:pPr>
        <w:spacing w:after="0" w:line="21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STATEMENT NO. 333-43569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333-150992</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333-167076</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333-181704</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333-204929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333-219113</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333-257070</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Borders>
              <w:bottom w:val="single" w:sz="8" w:color="auto"/>
            </w:tcBorders>
          </w:tcPr>
          <w:p>
            <w:pPr>
              <w:jc w:val="center"/>
              <w:ind w:left="3386"/>
              <w:spacing w:after="0"/>
              <w:rPr>
                <w:sz w:val="20"/>
                <w:szCs w:val="20"/>
                <w:color w:val="auto"/>
              </w:rPr>
            </w:pPr>
            <w:r>
              <w:rPr>
                <w:rFonts w:ascii="Times New Roman" w:cs="Times New Roman" w:eastAsia="Times New Roman" w:hAnsi="Times New Roman"/>
                <w:sz w:val="18"/>
                <w:szCs w:val="18"/>
                <w:b w:val="1"/>
                <w:bCs w:val="1"/>
                <w:i w:val="1"/>
                <w:iCs w:val="1"/>
                <w:color w:val="auto"/>
                <w:w w:val="99"/>
              </w:rPr>
              <w:t>UNDER THE SECURITIES ACT OF 1933</w:t>
            </w:r>
          </w:p>
        </w:tc>
        <w:tc>
          <w:tcPr>
            <w:tcW w:w="3480" w:type="dxa"/>
            <w:vAlign w:val="bottom"/>
            <w:tcBorders>
              <w:bottom w:val="single" w:sz="8" w:color="auto"/>
            </w:tcBorders>
          </w:tcPr>
          <w:p>
            <w:pPr>
              <w:spacing w:after="0"/>
              <w:rPr>
                <w:sz w:val="20"/>
                <w:szCs w:val="20"/>
                <w:color w:val="auto"/>
              </w:rPr>
            </w:pPr>
          </w:p>
        </w:tc>
      </w:tr>
      <w:tr>
        <w:trPr>
          <w:trHeight w:val="525"/>
        </w:trPr>
        <w:tc>
          <w:tcPr>
            <w:tcW w:w="7760" w:type="dxa"/>
            <w:vAlign w:val="bottom"/>
          </w:tcPr>
          <w:p>
            <w:pPr>
              <w:ind w:left="4740"/>
              <w:spacing w:after="0"/>
              <w:rPr>
                <w:sz w:val="20"/>
                <w:szCs w:val="20"/>
                <w:color w:val="auto"/>
              </w:rPr>
            </w:pPr>
            <w:r>
              <w:rPr>
                <w:rFonts w:ascii="Times New Roman" w:cs="Times New Roman" w:eastAsia="Times New Roman" w:hAnsi="Times New Roman"/>
                <w:sz w:val="29"/>
                <w:szCs w:val="29"/>
                <w:b w:val="1"/>
                <w:bCs w:val="1"/>
                <w:color w:val="auto"/>
              </w:rPr>
              <w:t>Hess Corporation</w:t>
            </w:r>
          </w:p>
        </w:tc>
        <w:tc>
          <w:tcPr>
            <w:tcW w:w="3480" w:type="dxa"/>
            <w:vAlign w:val="bottom"/>
          </w:tcPr>
          <w:p>
            <w:pPr>
              <w:spacing w:after="0"/>
              <w:rPr>
                <w:sz w:val="24"/>
                <w:szCs w:val="24"/>
                <w:color w:val="auto"/>
              </w:rPr>
            </w:pPr>
          </w:p>
        </w:tc>
      </w:tr>
      <w:tr>
        <w:trPr>
          <w:trHeight w:val="238"/>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480" w:type="dxa"/>
            <w:vAlign w:val="bottom"/>
          </w:tcPr>
          <w:p>
            <w:pPr>
              <w:spacing w:after="0"/>
              <w:rPr>
                <w:sz w:val="20"/>
                <w:szCs w:val="20"/>
                <w:color w:val="auto"/>
              </w:rPr>
            </w:pPr>
          </w:p>
        </w:tc>
      </w:tr>
      <w:tr>
        <w:trPr>
          <w:trHeight w:val="414"/>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13-4921002</w:t>
            </w:r>
          </w:p>
        </w:tc>
      </w:tr>
      <w:tr>
        <w:trPr>
          <w:trHeight w:val="216"/>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b w:val="1"/>
                <w:bCs w:val="1"/>
                <w:color w:val="auto"/>
                <w:w w:val="98"/>
              </w:rPr>
              <w:t>1185 Avenue of the Americas,</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3480" w:type="dxa"/>
            <w:vAlign w:val="bottom"/>
          </w:tcPr>
          <w:p>
            <w:pPr>
              <w:spacing w:after="0"/>
              <w:rPr>
                <w:sz w:val="18"/>
                <w:szCs w:val="18"/>
                <w:color w:val="auto"/>
              </w:rPr>
            </w:pPr>
          </w:p>
        </w:tc>
      </w:tr>
      <w:tr>
        <w:trPr>
          <w:trHeight w:val="22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(212) 997-8500</w:t>
            </w:r>
          </w:p>
        </w:tc>
        <w:tc>
          <w:tcPr>
            <w:tcW w:w="3480" w:type="dxa"/>
            <w:vAlign w:val="bottom"/>
          </w:tcPr>
          <w:p>
            <w:pPr>
              <w:spacing w:after="0"/>
              <w:rPr>
                <w:sz w:val="19"/>
                <w:szCs w:val="19"/>
                <w:color w:val="auto"/>
              </w:rPr>
            </w:pPr>
          </w:p>
        </w:tc>
      </w:tr>
      <w:tr>
        <w:trPr>
          <w:trHeight w:val="234"/>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480" w:type="dxa"/>
            <w:vAlign w:val="bottom"/>
          </w:tcPr>
          <w:p>
            <w:pPr>
              <w:spacing w:after="0"/>
              <w:rPr>
                <w:sz w:val="20"/>
                <w:szCs w:val="20"/>
                <w:color w:val="auto"/>
              </w:rPr>
            </w:pPr>
          </w:p>
        </w:tc>
      </w:tr>
      <w:tr>
        <w:trPr>
          <w:trHeight w:val="41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Employees’ Savings Plan</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2008 Long-Term Incentive Plan</w:t>
            </w:r>
          </w:p>
        </w:tc>
        <w:tc>
          <w:tcPr>
            <w:tcW w:w="3480" w:type="dxa"/>
            <w:vAlign w:val="bottom"/>
          </w:tcPr>
          <w:p>
            <w:pPr>
              <w:spacing w:after="0"/>
              <w:rPr>
                <w:sz w:val="18"/>
                <w:szCs w:val="18"/>
                <w:color w:val="auto"/>
              </w:rPr>
            </w:pPr>
          </w:p>
        </w:tc>
      </w:tr>
      <w:tr>
        <w:trPr>
          <w:trHeight w:val="22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2017 Long-Term Incentive Plan</w:t>
            </w:r>
          </w:p>
        </w:tc>
        <w:tc>
          <w:tcPr>
            <w:tcW w:w="3480" w:type="dxa"/>
            <w:vAlign w:val="bottom"/>
          </w:tcPr>
          <w:p>
            <w:pPr>
              <w:spacing w:after="0"/>
              <w:rPr>
                <w:sz w:val="19"/>
                <w:szCs w:val="19"/>
                <w:color w:val="auto"/>
              </w:rPr>
            </w:pPr>
          </w:p>
        </w:tc>
      </w:tr>
      <w:tr>
        <w:trPr>
          <w:trHeight w:val="234"/>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color w:val="auto"/>
                <w:w w:val="98"/>
              </w:rPr>
              <w:t>(Full Title of Plan)</w:t>
            </w:r>
          </w:p>
        </w:tc>
        <w:tc>
          <w:tcPr>
            <w:tcW w:w="3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Mary A. Francis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Secretary and Chief Governance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Chevron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5001 Executive Parkway,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Ramon, CA 94583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842-1000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A. Barshay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Kyle T. Seifried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10019-6064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2100" w:space="720"/>
            <w:col w:w="2100" w:space="720"/>
            <w:col w:w="4220" w:space="720"/>
            <w:col w:w="660"/>
          </w:cols>
          <w:pgMar w:left="320" w:top="468"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2100" w:space="720"/>
            <w:col w:w="2100" w:space="720"/>
            <w:col w:w="4220" w:space="720"/>
            <w:col w:w="660"/>
          </w:cols>
          <w:pgMar w:left="320" w:top="468" w:right="339" w:bottom="0" w:gutter="0" w:footer="0" w:header="0"/>
          <w:type w:val="continuous"/>
        </w:sectPr>
      </w:pPr>
    </w:p>
    <w:bookmarkStart w:id="1" w:name="page2"/>
    <w:bookmarkEnd w:id="1"/>
    <w:p>
      <w:pPr>
        <w:ind w:left="5640"/>
        <w:spacing w:after="0" w:line="207" w:lineRule="exact"/>
        <w:tabs>
          <w:tab w:leader="none" w:pos="105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Hess Corporation, a Delaware corporation (the “Registrant”), is filing with the U.S. Securities and Exchange Commission (the “SEC”) these post-effective amendments (these “Post-Effective Amendments”) to deregister any and all shares of the Registrant’s common stock, par value $1.00 per share (the “Common Stock”), previously registered under the following Registration Statements on Form S-8 (the “Registration Statements”) that remain unsold or otherwise unissued under each such Registration Statement as of the date hereof (note that the share numbers listed below do not take into account corporate actions taken in the interim):</w:t>
      </w:r>
    </w:p>
    <w:p>
      <w:pPr>
        <w:spacing w:after="0" w:line="183" w:lineRule="exact"/>
        <w:rPr>
          <w:sz w:val="20"/>
          <w:szCs w:val="20"/>
          <w:color w:val="auto"/>
        </w:rPr>
      </w:pPr>
    </w:p>
    <w:p>
      <w:pPr>
        <w:ind w:left="980" w:right="4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333-43569, filed with the SEC on December 31, 1997, registering 2,000,000 shares of Common Stock issuable pursuant to the Employees’ Savings And Stock Bonus Plan (“1997 Plan”), as amended by a post-effective amendment filed on June 20, 2007, registering 1,800,000 shares of Common Stock issuable pursuant to the 1997 Plan;</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333-150992, filed with the SEC on May 16, 2008, registering 13,000,000 shares of Common Stock issuable pursuant to the 2008 Long-Term Incentive Plan, as amended and restated (the “2008 Plan”), as amended by a post-effective amendment filed on June 30, 2017;</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333-167076, filed with the SEC on May 25, 2010, registering 8,000,000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333-181704, filed with the SEC on May 25, 2012, registering 8,000,000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333-204929, filed with the SEC on June 12, 2015, registering 9,000,000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333-219113, filed with the SEC on June 30, 2017, registering 13,500,000 shares of Common Stock issuable pursuant to the 2017 Long-Term Incentive Plan (the “2017 Plan”);</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333-257070, filed with the SEC on June 14, 2021, registering 12,000,000 shares of Common Stock issuable pursuant to the 2017 Plan.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18, 2025, pursuant to the Agreement and Plan of Merger, dated as of October 22, 2023 (the “Merger Agreement”), by and among Chevron Corporation (“Chevron”), Yankee Merger Sub Inc. (“Merger Sub”), and the Registrant, Merger Sub merged with and into the Registrant (the “Merger”), with the Registrant surviving the Merger as a direct, wholly owned subsidiary of Chevron. These Post-Effective Amendments are being filed as a result of the Merger.</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Houston, State of Texas, on July 18, 2025. No other person is required to sign these Post-Effective Amendments to the Registration Statements in reliance on Rule 478 of the Securities Act of 1933, as amended.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Hess Corporation</w:t>
      </w:r>
    </w:p>
    <w:p>
      <w:pPr>
        <w:spacing w:after="0" w:line="229"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Kari H. Endries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tab/>
        <w:t>Kari H. Endries</w:t>
      </w:r>
    </w:p>
    <w:p>
      <w:pPr>
        <w:spacing w:after="0" w:line="27"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2025-07-18T08:25:40Z</dcterms:created>
  <dcterms:modified xsi:type="dcterms:W3CDTF">2025-07-18T08:25:40Z</dcterms:modified>
</cp:coreProperties>
</file>